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el"/>
        <w:ind w:left="851" w:right="4570"/>
        <w:jc w:val="right"/>
        <w:rPr>
          <w:sz w:val="20"/>
          <w:szCs w:val="20"/>
        </w:rPr>
      </w:pPr>
      <w:bookmarkStart w:id="0" w:name="_GoBack"/>
      <w:bookmarkEnd w:id="0"/>
      <w:r>
        <w:rPr>
          <w:noProof/>
        </w:rPr>
        <w:drawing>
          <wp:inline distT="0" distB="0" distL="0" distR="0">
            <wp:extent cx="5358738" cy="1577972"/>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9621" cy="1590011"/>
                    </a:xfrm>
                    <a:prstGeom prst="rect">
                      <a:avLst/>
                    </a:prstGeom>
                  </pic:spPr>
                </pic:pic>
              </a:graphicData>
            </a:graphic>
          </wp:inline>
        </w:drawing>
      </w:r>
    </w:p>
    <w:p>
      <w:pPr>
        <w:pStyle w:val="Titel"/>
        <w:ind w:left="1418" w:right="-2"/>
        <w:jc w:val="left"/>
        <w:rPr>
          <w:i/>
          <w:color w:val="0070C0"/>
          <w:sz w:val="48"/>
          <w:szCs w:val="48"/>
        </w:rPr>
      </w:pPr>
    </w:p>
    <w:p>
      <w:pPr>
        <w:pStyle w:val="Titel"/>
        <w:ind w:left="1418" w:right="-2"/>
        <w:jc w:val="left"/>
        <w:rPr>
          <w:i/>
          <w:sz w:val="48"/>
          <w:szCs w:val="48"/>
        </w:rPr>
      </w:pPr>
    </w:p>
    <w:p>
      <w:pPr>
        <w:pStyle w:val="Titel"/>
        <w:ind w:left="1418" w:right="-2"/>
        <w:jc w:val="left"/>
        <w:rPr>
          <w:i/>
          <w:sz w:val="48"/>
          <w:szCs w:val="48"/>
        </w:rPr>
      </w:pPr>
    </w:p>
    <w:p>
      <w:pPr>
        <w:pStyle w:val="Titel"/>
        <w:ind w:left="1418" w:right="-2"/>
        <w:jc w:val="left"/>
        <w:rPr>
          <w:i/>
          <w:sz w:val="48"/>
          <w:szCs w:val="48"/>
        </w:rPr>
      </w:pPr>
    </w:p>
    <w:p>
      <w:pPr>
        <w:pStyle w:val="Titel"/>
        <w:ind w:left="1418" w:right="-2"/>
        <w:jc w:val="left"/>
        <w:rPr>
          <w:iCs/>
          <w:sz w:val="52"/>
          <w:szCs w:val="52"/>
        </w:rPr>
      </w:pPr>
      <w:r>
        <w:rPr>
          <w:iCs/>
          <w:sz w:val="52"/>
          <w:szCs w:val="52"/>
        </w:rPr>
        <w:t>Volksbank Greven eG</w:t>
      </w:r>
    </w:p>
    <w:p>
      <w:pPr>
        <w:pStyle w:val="Titel"/>
        <w:ind w:left="1418" w:right="-2"/>
        <w:jc w:val="left"/>
        <w:rPr>
          <w:i/>
          <w:sz w:val="48"/>
          <w:szCs w:val="48"/>
        </w:rPr>
      </w:pPr>
    </w:p>
    <w:p>
      <w:pPr>
        <w:pStyle w:val="Titel"/>
        <w:ind w:left="1418" w:right="-2"/>
        <w:jc w:val="left"/>
        <w:rPr>
          <w:i/>
          <w:sz w:val="48"/>
          <w:szCs w:val="48"/>
        </w:rPr>
      </w:pPr>
    </w:p>
    <w:p>
      <w:pPr>
        <w:pStyle w:val="Titel"/>
        <w:ind w:left="1418"/>
        <w:jc w:val="left"/>
        <w:rPr>
          <w:sz w:val="48"/>
          <w:szCs w:val="48"/>
        </w:rPr>
      </w:pPr>
      <w:r>
        <w:rPr>
          <w:sz w:val="48"/>
          <w:szCs w:val="48"/>
        </w:rPr>
        <w:t>Offenlegungsbericht</w:t>
      </w:r>
    </w:p>
    <w:p>
      <w:pPr>
        <w:pStyle w:val="Titel"/>
        <w:ind w:right="-2"/>
        <w:rPr>
          <w:sz w:val="20"/>
          <w:szCs w:val="20"/>
        </w:rPr>
      </w:pPr>
    </w:p>
    <w:p>
      <w:pPr>
        <w:pStyle w:val="Titel"/>
        <w:ind w:left="1418" w:right="-2"/>
        <w:jc w:val="left"/>
        <w:rPr>
          <w:b w:val="0"/>
          <w:sz w:val="48"/>
          <w:szCs w:val="48"/>
        </w:rPr>
      </w:pPr>
      <w:r>
        <w:rPr>
          <w:b w:val="0"/>
          <w:sz w:val="48"/>
          <w:szCs w:val="48"/>
        </w:rPr>
        <w:t>nach Art. 435 bis 455 CRR</w:t>
      </w:r>
    </w:p>
    <w:p>
      <w:pPr>
        <w:pStyle w:val="Titel"/>
        <w:ind w:left="1418" w:right="-2"/>
        <w:jc w:val="left"/>
        <w:rPr>
          <w:sz w:val="48"/>
          <w:szCs w:val="48"/>
        </w:rPr>
      </w:pPr>
    </w:p>
    <w:p>
      <w:pPr>
        <w:pStyle w:val="Titel"/>
        <w:ind w:left="1418" w:right="-2"/>
        <w:jc w:val="left"/>
        <w:rPr>
          <w:sz w:val="48"/>
          <w:szCs w:val="48"/>
        </w:rPr>
      </w:pPr>
      <w:r>
        <w:rPr>
          <w:sz w:val="48"/>
          <w:szCs w:val="48"/>
        </w:rPr>
        <w:t>per 31.12.2019</w:t>
      </w:r>
    </w:p>
    <w:p>
      <w:pPr>
        <w:pStyle w:val="Titel"/>
        <w:ind w:right="-2"/>
        <w:rPr>
          <w:b w:val="0"/>
          <w:sz w:val="20"/>
          <w:szCs w:val="20"/>
        </w:rPr>
      </w:pPr>
    </w:p>
    <w:p>
      <w:pPr>
        <w:jc w:val="center"/>
        <w:rPr>
          <w:rFonts w:cs="Arial"/>
          <w:sz w:val="16"/>
          <w:szCs w:val="16"/>
        </w:rPr>
      </w:pPr>
    </w:p>
    <w:p>
      <w:pPr>
        <w:jc w:val="left"/>
        <w:rPr>
          <w:rFonts w:cs="Arial"/>
          <w:sz w:val="16"/>
          <w:szCs w:val="16"/>
        </w:rPr>
      </w:pPr>
    </w:p>
    <w:p>
      <w:pPr>
        <w:jc w:val="center"/>
        <w:rPr>
          <w:rFonts w:cs="Arial"/>
          <w:sz w:val="28"/>
        </w:rPr>
        <w:sectPr>
          <w:footerReference w:type="default" r:id="rId9"/>
          <w:pgSz w:w="11906" w:h="16838" w:code="9"/>
          <w:pgMar w:top="1134" w:right="567" w:bottom="1134" w:left="567" w:header="709" w:footer="709" w:gutter="0"/>
          <w:cols w:space="708"/>
          <w:titlePg/>
          <w:docGrid w:linePitch="360"/>
        </w:sectPr>
      </w:pPr>
    </w:p>
    <w:p>
      <w:pPr>
        <w:rPr>
          <w:rFonts w:cs="Arial"/>
          <w:b/>
          <w:bCs/>
          <w:sz w:val="40"/>
        </w:rPr>
      </w:pPr>
      <w:r>
        <w:rPr>
          <w:rFonts w:cs="Arial"/>
          <w:b/>
          <w:bCs/>
          <w:sz w:val="40"/>
        </w:rPr>
        <w:lastRenderedPageBreak/>
        <w:t>Inhaltsverzeichnis</w:t>
      </w:r>
    </w:p>
    <w:p>
      <w:pPr>
        <w:pStyle w:val="Kopfzeile"/>
        <w:tabs>
          <w:tab w:val="clear" w:pos="4536"/>
          <w:tab w:val="clear" w:pos="9072"/>
        </w:tabs>
        <w:rPr>
          <w:rFonts w:cs="Arial"/>
        </w:rPr>
      </w:pPr>
    </w:p>
    <w:p>
      <w:pPr>
        <w:pStyle w:val="Verzeichnis1"/>
        <w:rPr>
          <w:rFonts w:asciiTheme="minorHAnsi" w:eastAsiaTheme="minorEastAsia" w:hAnsiTheme="minorHAnsi" w:cstheme="minorBidi"/>
          <w:sz w:val="24"/>
        </w:rPr>
      </w:pPr>
      <w:r>
        <w:rPr>
          <w:sz w:val="24"/>
        </w:rPr>
        <w:fldChar w:fldCharType="begin"/>
      </w:r>
      <w:r>
        <w:rPr>
          <w:sz w:val="24"/>
        </w:rPr>
        <w:instrText xml:space="preserve"> TOC \o "1-2" \h \z </w:instrText>
      </w:r>
      <w:r>
        <w:rPr>
          <w:sz w:val="24"/>
        </w:rPr>
        <w:fldChar w:fldCharType="separate"/>
      </w:r>
      <w:hyperlink w:anchor="_Toc436146674" w:history="1">
        <w:r>
          <w:rPr>
            <w:rStyle w:val="Hyperlink"/>
            <w:sz w:val="24"/>
          </w:rPr>
          <w:t>Präambel</w:t>
        </w:r>
        <w:r>
          <w:rPr>
            <w:webHidden/>
            <w:sz w:val="24"/>
          </w:rPr>
          <w:tab/>
        </w:r>
        <w:r>
          <w:rPr>
            <w:webHidden/>
            <w:sz w:val="24"/>
          </w:rPr>
          <w:fldChar w:fldCharType="begin"/>
        </w:r>
        <w:r>
          <w:rPr>
            <w:webHidden/>
            <w:sz w:val="24"/>
          </w:rPr>
          <w:instrText xml:space="preserve"> PAGEREF _Toc436146674 \h </w:instrText>
        </w:r>
        <w:r>
          <w:rPr>
            <w:webHidden/>
            <w:sz w:val="24"/>
          </w:rPr>
        </w:r>
        <w:r>
          <w:rPr>
            <w:webHidden/>
            <w:sz w:val="24"/>
          </w:rPr>
          <w:fldChar w:fldCharType="separate"/>
        </w:r>
        <w:r>
          <w:rPr>
            <w:webHidden/>
            <w:sz w:val="24"/>
          </w:rPr>
          <w:t>3</w:t>
        </w:r>
        <w:r>
          <w:rPr>
            <w:webHidden/>
            <w:sz w:val="24"/>
          </w:rPr>
          <w:fldChar w:fldCharType="end"/>
        </w:r>
      </w:hyperlink>
    </w:p>
    <w:p>
      <w:pPr>
        <w:pStyle w:val="Verzeichnis1"/>
        <w:rPr>
          <w:rFonts w:asciiTheme="minorHAnsi" w:eastAsiaTheme="minorEastAsia" w:hAnsiTheme="minorHAnsi" w:cstheme="minorBidi"/>
          <w:sz w:val="24"/>
        </w:rPr>
      </w:pPr>
      <w:hyperlink w:anchor="_Toc436146675" w:history="1">
        <w:r>
          <w:rPr>
            <w:rStyle w:val="Hyperlink"/>
            <w:sz w:val="24"/>
          </w:rPr>
          <w:t>Risikomanagementziele und -politik (Art. 435)</w:t>
        </w:r>
        <w:r>
          <w:rPr>
            <w:webHidden/>
            <w:sz w:val="24"/>
          </w:rPr>
          <w:tab/>
        </w:r>
        <w:r>
          <w:rPr>
            <w:webHidden/>
            <w:sz w:val="24"/>
          </w:rPr>
          <w:fldChar w:fldCharType="begin"/>
        </w:r>
        <w:r>
          <w:rPr>
            <w:webHidden/>
            <w:sz w:val="24"/>
          </w:rPr>
          <w:instrText xml:space="preserve"> PAGEREF _Toc436146675 \h </w:instrText>
        </w:r>
        <w:r>
          <w:rPr>
            <w:webHidden/>
            <w:sz w:val="24"/>
          </w:rPr>
        </w:r>
        <w:r>
          <w:rPr>
            <w:webHidden/>
            <w:sz w:val="24"/>
          </w:rPr>
          <w:fldChar w:fldCharType="separate"/>
        </w:r>
        <w:r>
          <w:rPr>
            <w:webHidden/>
            <w:sz w:val="24"/>
          </w:rPr>
          <w:t>3</w:t>
        </w:r>
        <w:r>
          <w:rPr>
            <w:webHidden/>
            <w:sz w:val="24"/>
          </w:rPr>
          <w:fldChar w:fldCharType="end"/>
        </w:r>
      </w:hyperlink>
    </w:p>
    <w:p>
      <w:pPr>
        <w:pStyle w:val="Verzeichnis1"/>
        <w:rPr>
          <w:rFonts w:asciiTheme="minorHAnsi" w:eastAsiaTheme="minorEastAsia" w:hAnsiTheme="minorHAnsi" w:cstheme="minorBidi"/>
          <w:sz w:val="24"/>
        </w:rPr>
      </w:pPr>
      <w:hyperlink w:anchor="_Toc436146676" w:history="1">
        <w:r>
          <w:rPr>
            <w:rStyle w:val="Hyperlink"/>
            <w:sz w:val="24"/>
          </w:rPr>
          <w:t>Eigenmittel (Art. 437)</w:t>
        </w:r>
        <w:r>
          <w:rPr>
            <w:webHidden/>
            <w:sz w:val="24"/>
          </w:rPr>
          <w:tab/>
        </w:r>
        <w:r>
          <w:rPr>
            <w:webHidden/>
            <w:sz w:val="24"/>
          </w:rPr>
          <w:fldChar w:fldCharType="begin"/>
        </w:r>
        <w:r>
          <w:rPr>
            <w:webHidden/>
            <w:sz w:val="24"/>
          </w:rPr>
          <w:instrText xml:space="preserve"> PAGEREF _Toc436146676 \h </w:instrText>
        </w:r>
        <w:r>
          <w:rPr>
            <w:webHidden/>
            <w:sz w:val="24"/>
          </w:rPr>
        </w:r>
        <w:r>
          <w:rPr>
            <w:webHidden/>
            <w:sz w:val="24"/>
          </w:rPr>
          <w:fldChar w:fldCharType="separate"/>
        </w:r>
        <w:r>
          <w:rPr>
            <w:webHidden/>
            <w:sz w:val="24"/>
          </w:rPr>
          <w:t>5</w:t>
        </w:r>
        <w:r>
          <w:rPr>
            <w:webHidden/>
            <w:sz w:val="24"/>
          </w:rPr>
          <w:fldChar w:fldCharType="end"/>
        </w:r>
      </w:hyperlink>
    </w:p>
    <w:p>
      <w:pPr>
        <w:pStyle w:val="Verzeichnis1"/>
        <w:rPr>
          <w:rFonts w:asciiTheme="minorHAnsi" w:eastAsiaTheme="minorEastAsia" w:hAnsiTheme="minorHAnsi" w:cstheme="minorBidi"/>
          <w:sz w:val="24"/>
        </w:rPr>
      </w:pPr>
      <w:hyperlink w:anchor="_Toc436146677" w:history="1">
        <w:r>
          <w:rPr>
            <w:rStyle w:val="Hyperlink"/>
            <w:sz w:val="24"/>
          </w:rPr>
          <w:t>Eigenmittelanforderungen (Art. 438)</w:t>
        </w:r>
        <w:r>
          <w:rPr>
            <w:webHidden/>
            <w:sz w:val="24"/>
          </w:rPr>
          <w:tab/>
        </w:r>
        <w:r>
          <w:rPr>
            <w:webHidden/>
            <w:sz w:val="24"/>
          </w:rPr>
          <w:fldChar w:fldCharType="begin"/>
        </w:r>
        <w:r>
          <w:rPr>
            <w:webHidden/>
            <w:sz w:val="24"/>
          </w:rPr>
          <w:instrText xml:space="preserve"> PAGEREF _Toc436146677 \h </w:instrText>
        </w:r>
        <w:r>
          <w:rPr>
            <w:webHidden/>
            <w:sz w:val="24"/>
          </w:rPr>
        </w:r>
        <w:r>
          <w:rPr>
            <w:webHidden/>
            <w:sz w:val="24"/>
          </w:rPr>
          <w:fldChar w:fldCharType="separate"/>
        </w:r>
        <w:r>
          <w:rPr>
            <w:webHidden/>
            <w:sz w:val="24"/>
          </w:rPr>
          <w:t>6</w:t>
        </w:r>
        <w:r>
          <w:rPr>
            <w:webHidden/>
            <w:sz w:val="24"/>
          </w:rPr>
          <w:fldChar w:fldCharType="end"/>
        </w:r>
      </w:hyperlink>
    </w:p>
    <w:p>
      <w:pPr>
        <w:pStyle w:val="Verzeichnis1"/>
        <w:rPr>
          <w:rFonts w:asciiTheme="minorHAnsi" w:eastAsiaTheme="minorEastAsia" w:hAnsiTheme="minorHAnsi" w:cstheme="minorBidi"/>
          <w:sz w:val="24"/>
        </w:rPr>
      </w:pPr>
      <w:hyperlink w:anchor="_Toc436146678" w:history="1">
        <w:r>
          <w:rPr>
            <w:rStyle w:val="Hyperlink"/>
            <w:sz w:val="24"/>
          </w:rPr>
          <w:t>Kreditrisikoanpassungen (Art. 442)</w:t>
        </w:r>
        <w:r>
          <w:rPr>
            <w:webHidden/>
            <w:sz w:val="24"/>
          </w:rPr>
          <w:tab/>
          <w:t>7</w:t>
        </w:r>
      </w:hyperlink>
    </w:p>
    <w:p>
      <w:pPr>
        <w:pStyle w:val="Verzeichnis1"/>
        <w:rPr>
          <w:sz w:val="24"/>
        </w:rPr>
      </w:pPr>
      <w:hyperlink w:anchor="_Toc436146679" w:history="1">
        <w:r>
          <w:rPr>
            <w:rStyle w:val="Hyperlink"/>
            <w:sz w:val="24"/>
          </w:rPr>
          <w:t>Gegenparteiausfallrisiko (Art. 439)</w:t>
        </w:r>
        <w:r>
          <w:rPr>
            <w:webHidden/>
            <w:sz w:val="24"/>
          </w:rPr>
          <w:tab/>
        </w:r>
        <w:r>
          <w:rPr>
            <w:webHidden/>
            <w:sz w:val="24"/>
          </w:rPr>
          <w:fldChar w:fldCharType="begin"/>
        </w:r>
        <w:r>
          <w:rPr>
            <w:webHidden/>
            <w:sz w:val="24"/>
          </w:rPr>
          <w:instrText xml:space="preserve"> PAGEREF _Toc436146679 \h </w:instrText>
        </w:r>
        <w:r>
          <w:rPr>
            <w:webHidden/>
            <w:sz w:val="24"/>
          </w:rPr>
        </w:r>
        <w:r>
          <w:rPr>
            <w:webHidden/>
            <w:sz w:val="24"/>
          </w:rPr>
          <w:fldChar w:fldCharType="separate"/>
        </w:r>
        <w:r>
          <w:rPr>
            <w:webHidden/>
            <w:sz w:val="24"/>
          </w:rPr>
          <w:t>11</w:t>
        </w:r>
        <w:r>
          <w:rPr>
            <w:webHidden/>
            <w:sz w:val="24"/>
          </w:rPr>
          <w:fldChar w:fldCharType="end"/>
        </w:r>
      </w:hyperlink>
    </w:p>
    <w:p>
      <w:pPr>
        <w:pStyle w:val="Verzeichnis1"/>
        <w:rPr>
          <w:sz w:val="24"/>
        </w:rPr>
      </w:pPr>
      <w:hyperlink w:anchor="_Toc436146679" w:history="1">
        <w:r>
          <w:rPr>
            <w:rStyle w:val="Hyperlink"/>
            <w:sz w:val="24"/>
          </w:rPr>
          <w:t>Kapitalpuffer (Art. 440)</w:t>
        </w:r>
        <w:r>
          <w:rPr>
            <w:webHidden/>
            <w:sz w:val="24"/>
          </w:rPr>
          <w:tab/>
        </w:r>
        <w:r>
          <w:rPr>
            <w:webHidden/>
            <w:sz w:val="24"/>
          </w:rPr>
          <w:fldChar w:fldCharType="begin"/>
        </w:r>
        <w:r>
          <w:rPr>
            <w:webHidden/>
            <w:sz w:val="24"/>
          </w:rPr>
          <w:instrText xml:space="preserve"> PAGEREF _Toc436146679 \h </w:instrText>
        </w:r>
        <w:r>
          <w:rPr>
            <w:webHidden/>
            <w:sz w:val="24"/>
          </w:rPr>
        </w:r>
        <w:r>
          <w:rPr>
            <w:webHidden/>
            <w:sz w:val="24"/>
          </w:rPr>
          <w:fldChar w:fldCharType="separate"/>
        </w:r>
        <w:r>
          <w:rPr>
            <w:webHidden/>
            <w:sz w:val="24"/>
          </w:rPr>
          <w:t>11</w:t>
        </w:r>
        <w:r>
          <w:rPr>
            <w:webHidden/>
            <w:sz w:val="24"/>
          </w:rPr>
          <w:fldChar w:fldCharType="end"/>
        </w:r>
      </w:hyperlink>
    </w:p>
    <w:p>
      <w:pPr>
        <w:pStyle w:val="Verzeichnis1"/>
        <w:rPr>
          <w:rFonts w:asciiTheme="minorHAnsi" w:eastAsiaTheme="minorEastAsia" w:hAnsiTheme="minorHAnsi" w:cstheme="minorBidi"/>
          <w:sz w:val="24"/>
        </w:rPr>
      </w:pPr>
      <w:hyperlink w:anchor="_Toc436146680" w:history="1">
        <w:r>
          <w:rPr>
            <w:rStyle w:val="Hyperlink"/>
            <w:sz w:val="24"/>
          </w:rPr>
          <w:t>Marktrisiko (Art. 445)</w:t>
        </w:r>
        <w:r>
          <w:rPr>
            <w:webHidden/>
            <w:sz w:val="24"/>
          </w:rPr>
          <w:tab/>
        </w:r>
        <w:r>
          <w:rPr>
            <w:webHidden/>
            <w:sz w:val="24"/>
          </w:rPr>
          <w:fldChar w:fldCharType="begin"/>
        </w:r>
        <w:r>
          <w:rPr>
            <w:webHidden/>
            <w:sz w:val="24"/>
          </w:rPr>
          <w:instrText xml:space="preserve"> PAGEREF _Toc436146680 \h </w:instrText>
        </w:r>
        <w:r>
          <w:rPr>
            <w:webHidden/>
            <w:sz w:val="24"/>
          </w:rPr>
        </w:r>
        <w:r>
          <w:rPr>
            <w:webHidden/>
            <w:sz w:val="24"/>
          </w:rPr>
          <w:fldChar w:fldCharType="separate"/>
        </w:r>
        <w:r>
          <w:rPr>
            <w:webHidden/>
            <w:sz w:val="24"/>
          </w:rPr>
          <w:t>13</w:t>
        </w:r>
        <w:r>
          <w:rPr>
            <w:webHidden/>
            <w:sz w:val="24"/>
          </w:rPr>
          <w:fldChar w:fldCharType="end"/>
        </w:r>
      </w:hyperlink>
    </w:p>
    <w:p>
      <w:pPr>
        <w:pStyle w:val="Verzeichnis1"/>
        <w:rPr>
          <w:rFonts w:asciiTheme="minorHAnsi" w:eastAsiaTheme="minorEastAsia" w:hAnsiTheme="minorHAnsi" w:cstheme="minorBidi"/>
          <w:sz w:val="24"/>
        </w:rPr>
      </w:pPr>
      <w:hyperlink w:anchor="_Toc436146681" w:history="1">
        <w:r>
          <w:rPr>
            <w:rStyle w:val="Hyperlink"/>
            <w:sz w:val="24"/>
          </w:rPr>
          <w:t>Operationelles Risiko (Art. 446)</w:t>
        </w:r>
        <w:r>
          <w:rPr>
            <w:webHidden/>
            <w:sz w:val="24"/>
          </w:rPr>
          <w:tab/>
        </w:r>
        <w:r>
          <w:rPr>
            <w:webHidden/>
            <w:sz w:val="24"/>
          </w:rPr>
          <w:fldChar w:fldCharType="begin"/>
        </w:r>
        <w:r>
          <w:rPr>
            <w:webHidden/>
            <w:sz w:val="24"/>
          </w:rPr>
          <w:instrText xml:space="preserve"> PAGEREF _Toc436146681 \h </w:instrText>
        </w:r>
        <w:r>
          <w:rPr>
            <w:webHidden/>
            <w:sz w:val="24"/>
          </w:rPr>
        </w:r>
        <w:r>
          <w:rPr>
            <w:webHidden/>
            <w:sz w:val="24"/>
          </w:rPr>
          <w:fldChar w:fldCharType="separate"/>
        </w:r>
        <w:r>
          <w:rPr>
            <w:webHidden/>
            <w:sz w:val="24"/>
          </w:rPr>
          <w:t>13</w:t>
        </w:r>
        <w:r>
          <w:rPr>
            <w:webHidden/>
            <w:sz w:val="24"/>
          </w:rPr>
          <w:fldChar w:fldCharType="end"/>
        </w:r>
      </w:hyperlink>
    </w:p>
    <w:p>
      <w:pPr>
        <w:pStyle w:val="Verzeichnis1"/>
        <w:rPr>
          <w:rFonts w:asciiTheme="minorHAnsi" w:eastAsiaTheme="minorEastAsia" w:hAnsiTheme="minorHAnsi" w:cstheme="minorBidi"/>
          <w:sz w:val="24"/>
        </w:rPr>
      </w:pPr>
      <w:hyperlink w:anchor="_Toc436146682" w:history="1">
        <w:r>
          <w:rPr>
            <w:rStyle w:val="Hyperlink"/>
            <w:sz w:val="24"/>
          </w:rPr>
          <w:t>Risiko aus nicht im Handelsbuch enthaltenen Beteiligungspositionen (Art. 447)</w:t>
        </w:r>
        <w:r>
          <w:rPr>
            <w:webHidden/>
            <w:sz w:val="24"/>
          </w:rPr>
          <w:tab/>
        </w:r>
        <w:r>
          <w:rPr>
            <w:webHidden/>
            <w:sz w:val="24"/>
          </w:rPr>
          <w:fldChar w:fldCharType="begin"/>
        </w:r>
        <w:r>
          <w:rPr>
            <w:webHidden/>
            <w:sz w:val="24"/>
          </w:rPr>
          <w:instrText xml:space="preserve"> PAGEREF _Toc436146682 \h </w:instrText>
        </w:r>
        <w:r>
          <w:rPr>
            <w:webHidden/>
            <w:sz w:val="24"/>
          </w:rPr>
        </w:r>
        <w:r>
          <w:rPr>
            <w:webHidden/>
            <w:sz w:val="24"/>
          </w:rPr>
          <w:fldChar w:fldCharType="separate"/>
        </w:r>
        <w:r>
          <w:rPr>
            <w:webHidden/>
            <w:sz w:val="24"/>
          </w:rPr>
          <w:t>13</w:t>
        </w:r>
        <w:r>
          <w:rPr>
            <w:webHidden/>
            <w:sz w:val="24"/>
          </w:rPr>
          <w:fldChar w:fldCharType="end"/>
        </w:r>
      </w:hyperlink>
    </w:p>
    <w:p>
      <w:pPr>
        <w:pStyle w:val="Verzeichnis1"/>
        <w:rPr>
          <w:rFonts w:asciiTheme="minorHAnsi" w:eastAsiaTheme="minorEastAsia" w:hAnsiTheme="minorHAnsi" w:cstheme="minorBidi"/>
          <w:sz w:val="24"/>
        </w:rPr>
      </w:pPr>
      <w:hyperlink w:anchor="_Toc436146683" w:history="1">
        <w:r>
          <w:rPr>
            <w:rStyle w:val="Hyperlink"/>
            <w:sz w:val="24"/>
          </w:rPr>
          <w:t>Zinsrisiko aus nicht im Handelsbuch enthaltenen Positionen (Art. 448)</w:t>
        </w:r>
        <w:r>
          <w:rPr>
            <w:webHidden/>
            <w:sz w:val="24"/>
          </w:rPr>
          <w:tab/>
        </w:r>
        <w:r>
          <w:rPr>
            <w:webHidden/>
            <w:sz w:val="24"/>
          </w:rPr>
          <w:fldChar w:fldCharType="begin"/>
        </w:r>
        <w:r>
          <w:rPr>
            <w:webHidden/>
            <w:sz w:val="24"/>
          </w:rPr>
          <w:instrText xml:space="preserve"> PAGEREF _Toc436146683 \h </w:instrText>
        </w:r>
        <w:r>
          <w:rPr>
            <w:webHidden/>
            <w:sz w:val="24"/>
          </w:rPr>
        </w:r>
        <w:r>
          <w:rPr>
            <w:webHidden/>
            <w:sz w:val="24"/>
          </w:rPr>
          <w:fldChar w:fldCharType="separate"/>
        </w:r>
        <w:r>
          <w:rPr>
            <w:webHidden/>
            <w:sz w:val="24"/>
          </w:rPr>
          <w:t>14</w:t>
        </w:r>
        <w:r>
          <w:rPr>
            <w:webHidden/>
            <w:sz w:val="24"/>
          </w:rPr>
          <w:fldChar w:fldCharType="end"/>
        </w:r>
      </w:hyperlink>
    </w:p>
    <w:p>
      <w:pPr>
        <w:pStyle w:val="Verzeichnis1"/>
        <w:rPr>
          <w:rFonts w:asciiTheme="minorHAnsi" w:eastAsiaTheme="minorEastAsia" w:hAnsiTheme="minorHAnsi" w:cstheme="minorBidi"/>
          <w:sz w:val="24"/>
        </w:rPr>
      </w:pPr>
      <w:hyperlink w:anchor="_Toc436146684" w:history="1">
        <w:r>
          <w:rPr>
            <w:rStyle w:val="Hyperlink"/>
            <w:sz w:val="24"/>
          </w:rPr>
          <w:t>Risiko aus Verbriefungstransaktionen (Art. 449)</w:t>
        </w:r>
        <w:r>
          <w:rPr>
            <w:webHidden/>
            <w:sz w:val="24"/>
          </w:rPr>
          <w:tab/>
        </w:r>
        <w:r>
          <w:rPr>
            <w:webHidden/>
            <w:sz w:val="24"/>
          </w:rPr>
          <w:fldChar w:fldCharType="begin"/>
        </w:r>
        <w:r>
          <w:rPr>
            <w:webHidden/>
            <w:sz w:val="24"/>
          </w:rPr>
          <w:instrText xml:space="preserve"> PAGEREF _Toc436146684 \h </w:instrText>
        </w:r>
        <w:r>
          <w:rPr>
            <w:webHidden/>
            <w:sz w:val="24"/>
          </w:rPr>
        </w:r>
        <w:r>
          <w:rPr>
            <w:webHidden/>
            <w:sz w:val="24"/>
          </w:rPr>
          <w:fldChar w:fldCharType="separate"/>
        </w:r>
        <w:r>
          <w:rPr>
            <w:webHidden/>
            <w:sz w:val="24"/>
          </w:rPr>
          <w:t>15</w:t>
        </w:r>
        <w:r>
          <w:rPr>
            <w:webHidden/>
            <w:sz w:val="24"/>
          </w:rPr>
          <w:fldChar w:fldCharType="end"/>
        </w:r>
      </w:hyperlink>
    </w:p>
    <w:p>
      <w:pPr>
        <w:pStyle w:val="Verzeichnis1"/>
        <w:rPr>
          <w:rFonts w:asciiTheme="minorHAnsi" w:eastAsiaTheme="minorEastAsia" w:hAnsiTheme="minorHAnsi" w:cstheme="minorBidi"/>
          <w:sz w:val="24"/>
        </w:rPr>
      </w:pPr>
      <w:hyperlink w:anchor="_Toc436146685" w:history="1">
        <w:r>
          <w:rPr>
            <w:rStyle w:val="Hyperlink"/>
            <w:sz w:val="24"/>
          </w:rPr>
          <w:t>Verwendung von Kreditrisikominderungstechniken (Art. 453)</w:t>
        </w:r>
        <w:r>
          <w:rPr>
            <w:webHidden/>
            <w:sz w:val="24"/>
          </w:rPr>
          <w:tab/>
        </w:r>
        <w:r>
          <w:rPr>
            <w:webHidden/>
            <w:sz w:val="24"/>
          </w:rPr>
          <w:fldChar w:fldCharType="begin"/>
        </w:r>
        <w:r>
          <w:rPr>
            <w:webHidden/>
            <w:sz w:val="24"/>
          </w:rPr>
          <w:instrText xml:space="preserve"> PAGEREF _Toc436146685 \h </w:instrText>
        </w:r>
        <w:r>
          <w:rPr>
            <w:webHidden/>
            <w:sz w:val="24"/>
          </w:rPr>
        </w:r>
        <w:r>
          <w:rPr>
            <w:webHidden/>
            <w:sz w:val="24"/>
          </w:rPr>
          <w:fldChar w:fldCharType="separate"/>
        </w:r>
        <w:r>
          <w:rPr>
            <w:webHidden/>
            <w:sz w:val="24"/>
          </w:rPr>
          <w:t>15</w:t>
        </w:r>
        <w:r>
          <w:rPr>
            <w:webHidden/>
            <w:sz w:val="24"/>
          </w:rPr>
          <w:fldChar w:fldCharType="end"/>
        </w:r>
      </w:hyperlink>
    </w:p>
    <w:p>
      <w:pPr>
        <w:pStyle w:val="Verzeichnis1"/>
        <w:rPr>
          <w:rFonts w:asciiTheme="minorHAnsi" w:eastAsiaTheme="minorEastAsia" w:hAnsiTheme="minorHAnsi" w:cstheme="minorBidi"/>
          <w:sz w:val="24"/>
        </w:rPr>
      </w:pPr>
      <w:hyperlink w:anchor="_Toc436146686" w:history="1">
        <w:r>
          <w:rPr>
            <w:rStyle w:val="Hyperlink"/>
            <w:sz w:val="24"/>
          </w:rPr>
          <w:t>Unbelastete Vermögenswerte (Art. 443)</w:t>
        </w:r>
        <w:r>
          <w:rPr>
            <w:webHidden/>
            <w:sz w:val="24"/>
          </w:rPr>
          <w:tab/>
        </w:r>
        <w:r>
          <w:rPr>
            <w:webHidden/>
            <w:sz w:val="24"/>
          </w:rPr>
          <w:fldChar w:fldCharType="begin"/>
        </w:r>
        <w:r>
          <w:rPr>
            <w:webHidden/>
            <w:sz w:val="24"/>
          </w:rPr>
          <w:instrText xml:space="preserve"> PAGEREF _Toc436146686 \h </w:instrText>
        </w:r>
        <w:r>
          <w:rPr>
            <w:webHidden/>
            <w:sz w:val="24"/>
          </w:rPr>
        </w:r>
        <w:r>
          <w:rPr>
            <w:webHidden/>
            <w:sz w:val="24"/>
          </w:rPr>
          <w:fldChar w:fldCharType="separate"/>
        </w:r>
        <w:r>
          <w:rPr>
            <w:webHidden/>
            <w:sz w:val="24"/>
          </w:rPr>
          <w:t>16</w:t>
        </w:r>
        <w:r>
          <w:rPr>
            <w:webHidden/>
            <w:sz w:val="24"/>
          </w:rPr>
          <w:fldChar w:fldCharType="end"/>
        </w:r>
      </w:hyperlink>
    </w:p>
    <w:p>
      <w:pPr>
        <w:pStyle w:val="Verzeichnis1"/>
        <w:rPr>
          <w:rFonts w:asciiTheme="minorHAnsi" w:eastAsiaTheme="minorEastAsia" w:hAnsiTheme="minorHAnsi" w:cstheme="minorBidi"/>
          <w:sz w:val="24"/>
        </w:rPr>
      </w:pPr>
      <w:hyperlink w:anchor="_Toc436146687" w:history="1">
        <w:r>
          <w:rPr>
            <w:rStyle w:val="Hyperlink"/>
            <w:sz w:val="24"/>
          </w:rPr>
          <w:t>Verschuldung (Art. 451)</w:t>
        </w:r>
        <w:r>
          <w:rPr>
            <w:webHidden/>
            <w:sz w:val="24"/>
          </w:rPr>
          <w:tab/>
        </w:r>
        <w:r>
          <w:rPr>
            <w:webHidden/>
            <w:sz w:val="24"/>
          </w:rPr>
          <w:fldChar w:fldCharType="begin"/>
        </w:r>
        <w:r>
          <w:rPr>
            <w:webHidden/>
            <w:sz w:val="24"/>
          </w:rPr>
          <w:instrText xml:space="preserve"> PAGEREF _Toc436146687 \h </w:instrText>
        </w:r>
        <w:r>
          <w:rPr>
            <w:webHidden/>
            <w:sz w:val="24"/>
          </w:rPr>
        </w:r>
        <w:r>
          <w:rPr>
            <w:webHidden/>
            <w:sz w:val="24"/>
          </w:rPr>
          <w:fldChar w:fldCharType="separate"/>
        </w:r>
        <w:r>
          <w:rPr>
            <w:webHidden/>
            <w:sz w:val="24"/>
          </w:rPr>
          <w:t>17</w:t>
        </w:r>
        <w:r>
          <w:rPr>
            <w:webHidden/>
            <w:sz w:val="24"/>
          </w:rPr>
          <w:fldChar w:fldCharType="end"/>
        </w:r>
      </w:hyperlink>
    </w:p>
    <w:p>
      <w:pPr>
        <w:pStyle w:val="Verzeichnis1"/>
        <w:rPr>
          <w:rFonts w:asciiTheme="minorHAnsi" w:eastAsiaTheme="minorEastAsia" w:hAnsiTheme="minorHAnsi" w:cstheme="minorBidi"/>
          <w:sz w:val="24"/>
        </w:rPr>
      </w:pPr>
      <w:hyperlink w:anchor="_Toc436146688" w:history="1">
        <w:r>
          <w:rPr>
            <w:rStyle w:val="Hyperlink"/>
            <w:sz w:val="24"/>
          </w:rPr>
          <w:t>Anhang</w:t>
        </w:r>
        <w:r>
          <w:rPr>
            <w:webHidden/>
            <w:sz w:val="24"/>
          </w:rPr>
          <w:tab/>
        </w:r>
        <w:r>
          <w:rPr>
            <w:webHidden/>
            <w:sz w:val="24"/>
          </w:rPr>
          <w:fldChar w:fldCharType="begin"/>
        </w:r>
        <w:r>
          <w:rPr>
            <w:webHidden/>
            <w:sz w:val="24"/>
          </w:rPr>
          <w:instrText xml:space="preserve"> PAGEREF _Toc436146688 \h </w:instrText>
        </w:r>
        <w:r>
          <w:rPr>
            <w:webHidden/>
            <w:sz w:val="24"/>
          </w:rPr>
        </w:r>
        <w:r>
          <w:rPr>
            <w:webHidden/>
            <w:sz w:val="24"/>
          </w:rPr>
          <w:fldChar w:fldCharType="separate"/>
        </w:r>
        <w:r>
          <w:rPr>
            <w:webHidden/>
            <w:sz w:val="24"/>
          </w:rPr>
          <w:t>20</w:t>
        </w:r>
        <w:r>
          <w:rPr>
            <w:webHidden/>
            <w:sz w:val="24"/>
          </w:rPr>
          <w:fldChar w:fldCharType="end"/>
        </w:r>
      </w:hyperlink>
    </w:p>
    <w:p>
      <w:pPr>
        <w:pStyle w:val="Verzeichnis1"/>
        <w:tabs>
          <w:tab w:val="left" w:pos="901"/>
        </w:tabs>
        <w:rPr>
          <w:rFonts w:asciiTheme="minorHAnsi" w:eastAsiaTheme="minorEastAsia" w:hAnsiTheme="minorHAnsi" w:cstheme="minorBidi"/>
          <w:sz w:val="24"/>
        </w:rPr>
      </w:pPr>
      <w:hyperlink w:anchor="_Toc436146689" w:history="1">
        <w:r>
          <w:rPr>
            <w:rStyle w:val="Hyperlink"/>
            <w:sz w:val="24"/>
          </w:rPr>
          <w:t>I.</w:t>
        </w:r>
        <w:r>
          <w:rPr>
            <w:rFonts w:asciiTheme="minorHAnsi" w:eastAsiaTheme="minorEastAsia" w:hAnsiTheme="minorHAnsi" w:cstheme="minorBidi"/>
            <w:sz w:val="24"/>
          </w:rPr>
          <w:tab/>
        </w:r>
        <w:r>
          <w:rPr>
            <w:rStyle w:val="Hyperlink"/>
            <w:sz w:val="24"/>
          </w:rPr>
          <w:t>Offenlegung der Kapitalinstrumente</w:t>
        </w:r>
        <w:r>
          <w:rPr>
            <w:webHidden/>
            <w:sz w:val="24"/>
          </w:rPr>
          <w:tab/>
        </w:r>
        <w:r>
          <w:rPr>
            <w:webHidden/>
            <w:sz w:val="24"/>
          </w:rPr>
          <w:fldChar w:fldCharType="begin"/>
        </w:r>
        <w:r>
          <w:rPr>
            <w:webHidden/>
            <w:sz w:val="24"/>
          </w:rPr>
          <w:instrText xml:space="preserve"> PAGEREF _Toc436146689 \h </w:instrText>
        </w:r>
        <w:r>
          <w:rPr>
            <w:webHidden/>
            <w:sz w:val="24"/>
          </w:rPr>
        </w:r>
        <w:r>
          <w:rPr>
            <w:webHidden/>
            <w:sz w:val="24"/>
          </w:rPr>
          <w:fldChar w:fldCharType="separate"/>
        </w:r>
        <w:r>
          <w:rPr>
            <w:webHidden/>
            <w:sz w:val="24"/>
          </w:rPr>
          <w:t>20</w:t>
        </w:r>
        <w:r>
          <w:rPr>
            <w:webHidden/>
            <w:sz w:val="24"/>
          </w:rPr>
          <w:fldChar w:fldCharType="end"/>
        </w:r>
      </w:hyperlink>
    </w:p>
    <w:p>
      <w:pPr>
        <w:pStyle w:val="Verzeichnis1"/>
        <w:tabs>
          <w:tab w:val="left" w:pos="901"/>
        </w:tabs>
        <w:rPr>
          <w:rFonts w:asciiTheme="minorHAnsi" w:eastAsiaTheme="minorEastAsia" w:hAnsiTheme="minorHAnsi" w:cstheme="minorBidi"/>
          <w:sz w:val="24"/>
        </w:rPr>
      </w:pPr>
      <w:hyperlink w:anchor="_Toc436146690" w:history="1">
        <w:r>
          <w:rPr>
            <w:rStyle w:val="Hyperlink"/>
            <w:sz w:val="24"/>
          </w:rPr>
          <w:t>II.</w:t>
        </w:r>
        <w:r>
          <w:rPr>
            <w:rFonts w:asciiTheme="minorHAnsi" w:eastAsiaTheme="minorEastAsia" w:hAnsiTheme="minorHAnsi" w:cstheme="minorBidi"/>
            <w:sz w:val="24"/>
          </w:rPr>
          <w:tab/>
        </w:r>
        <w:r>
          <w:rPr>
            <w:rStyle w:val="Hyperlink"/>
            <w:sz w:val="24"/>
          </w:rPr>
          <w:t xml:space="preserve">Offenlegung der Eigenmittel </w:t>
        </w:r>
        <w:r>
          <w:rPr>
            <w:webHidden/>
            <w:sz w:val="24"/>
          </w:rPr>
          <w:tab/>
        </w:r>
        <w:r>
          <w:rPr>
            <w:webHidden/>
            <w:sz w:val="24"/>
          </w:rPr>
          <w:fldChar w:fldCharType="begin"/>
        </w:r>
        <w:r>
          <w:rPr>
            <w:webHidden/>
            <w:sz w:val="24"/>
          </w:rPr>
          <w:instrText xml:space="preserve"> PAGEREF _Toc436146690 \h </w:instrText>
        </w:r>
        <w:r>
          <w:rPr>
            <w:webHidden/>
            <w:sz w:val="24"/>
          </w:rPr>
        </w:r>
        <w:r>
          <w:rPr>
            <w:webHidden/>
            <w:sz w:val="24"/>
          </w:rPr>
          <w:fldChar w:fldCharType="separate"/>
        </w:r>
        <w:r>
          <w:rPr>
            <w:webHidden/>
            <w:sz w:val="24"/>
          </w:rPr>
          <w:t>22</w:t>
        </w:r>
        <w:r>
          <w:rPr>
            <w:webHidden/>
            <w:sz w:val="24"/>
          </w:rPr>
          <w:fldChar w:fldCharType="end"/>
        </w:r>
      </w:hyperlink>
    </w:p>
    <w:p>
      <w:pPr>
        <w:tabs>
          <w:tab w:val="right" w:leader="dot" w:pos="9060"/>
        </w:tabs>
        <w:spacing w:after="40"/>
        <w:ind w:right="851"/>
        <w:rPr>
          <w:rFonts w:cs="Arial"/>
        </w:rPr>
      </w:pPr>
      <w:r>
        <w:rPr>
          <w:rFonts w:cs="Arial"/>
          <w:noProof/>
          <w:sz w:val="24"/>
        </w:rPr>
        <w:fldChar w:fldCharType="end"/>
      </w:r>
    </w:p>
    <w:p>
      <w:pPr>
        <w:rPr>
          <w:rFonts w:cs="Arial"/>
        </w:rPr>
      </w:pPr>
    </w:p>
    <w:p>
      <w:pPr>
        <w:pStyle w:val="Kopfzeile"/>
        <w:tabs>
          <w:tab w:val="clear" w:pos="4536"/>
          <w:tab w:val="clear" w:pos="9072"/>
        </w:tabs>
        <w:rPr>
          <w:rFonts w:cs="Arial"/>
        </w:rPr>
        <w:sectPr>
          <w:pgSz w:w="11906" w:h="16838" w:code="9"/>
          <w:pgMar w:top="1418" w:right="1418" w:bottom="1134" w:left="1418" w:header="709" w:footer="709" w:gutter="0"/>
          <w:cols w:space="708"/>
          <w:titlePg/>
          <w:docGrid w:linePitch="360"/>
        </w:sectPr>
      </w:pPr>
    </w:p>
    <w:p>
      <w:pPr>
        <w:pStyle w:val="berschrift1"/>
      </w:pPr>
      <w:bookmarkStart w:id="1" w:name="_Toc436146674"/>
      <w:bookmarkStart w:id="2" w:name="_Toc341362625"/>
      <w:r>
        <w:lastRenderedPageBreak/>
        <w:t>Präambel</w:t>
      </w:r>
      <w:bookmarkEnd w:id="1"/>
    </w:p>
    <w:p>
      <w:pPr>
        <w:pStyle w:val="Randziffer"/>
        <w:numPr>
          <w:ilvl w:val="0"/>
          <w:numId w:val="0"/>
        </w:numPr>
      </w:pPr>
      <w:bookmarkStart w:id="3" w:name="_Toc395106248"/>
      <w:r>
        <w:t>Dieser Offenlegungsbericht muss in Zusammenhang mit dem Jahresabschluss und dem Lagebericht gelesen werden.</w:t>
      </w:r>
      <w:bookmarkEnd w:id="3"/>
      <w:r>
        <w:t xml:space="preserve"> </w:t>
      </w:r>
    </w:p>
    <w:p>
      <w:pPr>
        <w:pStyle w:val="berschrift1"/>
      </w:pPr>
      <w:bookmarkStart w:id="4" w:name="_Toc436146675"/>
      <w:r>
        <w:t>Risikomanagementziele und -politik</w:t>
      </w:r>
      <w:bookmarkEnd w:id="2"/>
      <w:r>
        <w:t xml:space="preserve"> (Art. 435)</w:t>
      </w:r>
      <w:bookmarkEnd w:id="4"/>
    </w:p>
    <w:p>
      <w:pPr>
        <w:pStyle w:val="Randziffer"/>
        <w:widowControl w:val="0"/>
      </w:pPr>
      <w:r>
        <w:t>Die Ausgestaltung des Risikomanagementsystems ist bestimmt durch unsere festgelegte Geschäfts- und Risikostrategie. Für die Ausarbeitung dieser Strategien ist der Vorstand verantwortlich. Die Unternehmensziele unserer Bank und unsere geplanten Maßnahmen zur Sicherung des langfristigen Unternehmenserfolges sind in der vom Vorstand festgelegten Geschäftsstrategie beschrieben. Darin ist das gemeinsame Grundverständnis des Vorstandes zu den wesentlichen Fragen der Geschäftspolitik dokumentiert. Risiken gehen wir insbesondere ein, um gezielt Erträge zu realisieren. Der Vorstand hat eine mit der Geschäftsstrategie konsistente Risikostrategie ausgearbeitet, die insbesondere die Ziele der Risikosteuerung der wesentlichen Geschäftsaktivitäten erfasst.</w:t>
      </w:r>
    </w:p>
    <w:p>
      <w:pPr>
        <w:pStyle w:val="Randziffer"/>
        <w:widowControl w:val="0"/>
        <w:rPr>
          <w:sz w:val="20"/>
        </w:rPr>
      </w:pPr>
      <w:r>
        <w:t>Aufgabe der Risikosteuerung ist nicht die vollständige Risikovermeidung, sondern eine zielkonforme und systematische Risikohandhabung. Dabei beachten wir folgende Grund-sätze:</w:t>
      </w:r>
    </w:p>
    <w:p>
      <w:pPr>
        <w:widowControl w:val="0"/>
        <w:numPr>
          <w:ilvl w:val="0"/>
          <w:numId w:val="5"/>
        </w:numPr>
        <w:tabs>
          <w:tab w:val="clear" w:pos="2160"/>
        </w:tabs>
        <w:spacing w:before="40" w:after="40"/>
        <w:ind w:left="748" w:hanging="181"/>
        <w:rPr>
          <w:sz w:val="20"/>
        </w:rPr>
      </w:pPr>
      <w:r>
        <w:rPr>
          <w:sz w:val="20"/>
        </w:rPr>
        <w:t>Verzicht auf Geschäfte, deren Risiko vor dem Hintergrund der Risikotragfähigkeit und der Risikostrategie unserer Bank nicht vertretbar sind</w:t>
      </w:r>
    </w:p>
    <w:p>
      <w:pPr>
        <w:widowControl w:val="0"/>
        <w:numPr>
          <w:ilvl w:val="0"/>
          <w:numId w:val="5"/>
        </w:numPr>
        <w:tabs>
          <w:tab w:val="clear" w:pos="2160"/>
        </w:tabs>
        <w:spacing w:before="40" w:after="40"/>
        <w:ind w:left="748" w:hanging="181"/>
        <w:rPr>
          <w:sz w:val="20"/>
        </w:rPr>
      </w:pPr>
      <w:r>
        <w:rPr>
          <w:sz w:val="20"/>
        </w:rPr>
        <w:t>Systematischer Aufbau von Geschäftspositionen, bei denen Ertragschancen und Risiken in angemessenem Verhältnis stehen</w:t>
      </w:r>
    </w:p>
    <w:p>
      <w:pPr>
        <w:widowControl w:val="0"/>
        <w:numPr>
          <w:ilvl w:val="0"/>
          <w:numId w:val="5"/>
        </w:numPr>
        <w:tabs>
          <w:tab w:val="clear" w:pos="2160"/>
        </w:tabs>
        <w:spacing w:before="40" w:after="40"/>
        <w:ind w:left="748" w:hanging="181"/>
        <w:rPr>
          <w:sz w:val="20"/>
        </w:rPr>
      </w:pPr>
      <w:r>
        <w:rPr>
          <w:sz w:val="20"/>
        </w:rPr>
        <w:t>Weitestgehende Vermeidung von Risikokonzentrationen</w:t>
      </w:r>
    </w:p>
    <w:p>
      <w:pPr>
        <w:widowControl w:val="0"/>
        <w:numPr>
          <w:ilvl w:val="0"/>
          <w:numId w:val="5"/>
        </w:numPr>
        <w:tabs>
          <w:tab w:val="clear" w:pos="2160"/>
        </w:tabs>
        <w:spacing w:before="40" w:after="40"/>
        <w:ind w:left="748" w:hanging="181"/>
        <w:rPr>
          <w:sz w:val="20"/>
        </w:rPr>
      </w:pPr>
      <w:r>
        <w:rPr>
          <w:sz w:val="20"/>
        </w:rPr>
        <w:t>Schadensbegrenzung durch aktives Management aufgetretener Schadensfälle</w:t>
      </w:r>
    </w:p>
    <w:p>
      <w:pPr>
        <w:widowControl w:val="0"/>
        <w:numPr>
          <w:ilvl w:val="0"/>
          <w:numId w:val="5"/>
        </w:numPr>
        <w:tabs>
          <w:tab w:val="clear" w:pos="2160"/>
        </w:tabs>
        <w:spacing w:before="40" w:after="40"/>
        <w:ind w:left="748" w:hanging="181"/>
        <w:rPr>
          <w:sz w:val="20"/>
        </w:rPr>
      </w:pPr>
      <w:r>
        <w:rPr>
          <w:sz w:val="20"/>
        </w:rPr>
        <w:t>Hereinnahme von Sicherheiten zur Absicherung von Kreditrisiken</w:t>
      </w:r>
    </w:p>
    <w:p>
      <w:pPr>
        <w:widowControl w:val="0"/>
        <w:numPr>
          <w:ilvl w:val="0"/>
          <w:numId w:val="5"/>
        </w:numPr>
        <w:tabs>
          <w:tab w:val="clear" w:pos="2160"/>
        </w:tabs>
        <w:spacing w:before="40" w:after="40"/>
        <w:ind w:left="748" w:hanging="181"/>
        <w:rPr>
          <w:sz w:val="20"/>
        </w:rPr>
      </w:pPr>
      <w:r>
        <w:rPr>
          <w:sz w:val="20"/>
        </w:rPr>
        <w:t>Verwendung rechtlich geprüfter Verträge</w:t>
      </w:r>
    </w:p>
    <w:p>
      <w:pPr>
        <w:widowControl w:val="0"/>
        <w:spacing w:before="40" w:after="40"/>
        <w:ind w:left="748"/>
        <w:rPr>
          <w:sz w:val="20"/>
        </w:rPr>
      </w:pPr>
    </w:p>
    <w:p>
      <w:pPr>
        <w:pStyle w:val="Randziffer"/>
      </w:pPr>
      <w:r>
        <w:t>Die Planung und Steuerung der Risiken erfolgen auf der Basis der Risikotragfähigkeit der Bank. Die Risikotragfähigkeit, die periodisch berechnet wird, ist gegeben, wenn die wesentlichen Risiken durch das Gesamtbank-Risikolimit laufend gedeckt sind. Aus der Risikodeckungsmasse leiten wir unter Berücksichtigung bestimmter Abzugsposten das Gesamtbank-Risikolimit ab. Durch die Abzugsposten stellen wir insbesondere die Fortführung des Geschäftsbetriebs sicher und treffen Vorsorge gegen Stressverluste und für nicht explizit berücksichtigte Risiken. Das ermittelte Gesamtbank-Risikolimit verteilen wir auf das Adressenausfallrisiko (inklusive Beteiligungsrisiko), das Marktpreisrisiko (inklusive Zinsänderungsrisiko) sowie das operationelle Risiko. Interne Kontrollverfahren gewährleisten, dass wesentliche Operationelle Risiken regelmäßig identifiziert und beurteilt werden. Sie werden in einer Schadensdatenbank erfasst. Das Liquiditätsrisiko stellt für uns unter aufsichtsrechtlichen Aspekten zwar eine wesentliche Risikoart dar, die im Allgemeinen aufgrund ihrer Eigenart aber nicht sinnvoll durch Risikodeckungsmasse begrenzt werden kann und somit nicht in die Risikotragfähigkeitsbetrachtung der Bank einbezogen wird. Andere Risikoarten werden als unwesentlich eingestuft.</w:t>
      </w:r>
    </w:p>
    <w:p>
      <w:pPr>
        <w:pStyle w:val="Randziffer"/>
      </w:pPr>
      <w:r>
        <w:t>Um die Angemessenheit des aus der ermittelten Risikodeckungsmasse und den ge</w:t>
      </w:r>
      <w:r>
        <w:softHyphen/>
        <w:t>schäftspolitischen Zielen abgeleiteten Gesamtbank-Risikolimits auch während eines Geschäftsjahres laufend sicherstellen zu können, wird die Höhe der Risikodeckungsmasse unterjährig durch das Risikocontrolling überprüft.</w:t>
      </w:r>
    </w:p>
    <w:p>
      <w:pPr>
        <w:pStyle w:val="Randziffer"/>
      </w:pPr>
      <w:r>
        <w:t>Die Betrachtung des Liquiditätsrisikos erfolgt in einem angemessenen Risikosteuerungs- und -</w:t>
      </w:r>
      <w:proofErr w:type="spellStart"/>
      <w:r>
        <w:t>controllingprozess</w:t>
      </w:r>
      <w:proofErr w:type="spellEnd"/>
      <w:r>
        <w:t>. In dem für unser Haus in Bezug auf die Risikotragfähigkeit, Ressourcen und Geschäftsmöglichkeiten angemessenen Liquiditätsmanagement sind die bankaufsichtlichen Liquiditätsanforderungen als strenge Nebenbedingung einzuhalten.</w:t>
      </w:r>
    </w:p>
    <w:p>
      <w:pPr>
        <w:spacing w:before="0" w:after="0"/>
        <w:jc w:val="left"/>
        <w:rPr>
          <w:rFonts w:cs="Arial"/>
        </w:rPr>
      </w:pPr>
      <w:r>
        <w:br w:type="page"/>
      </w:r>
    </w:p>
    <w:p>
      <w:pPr>
        <w:pStyle w:val="Randziffer"/>
      </w:pPr>
      <w:r>
        <w:lastRenderedPageBreak/>
        <w:t>Auf der Grundlage der vorhandenen Geschäfts- und Risikostrategie bestimmt der Vorstand, welche nicht strategiekonformen Risiken beispielsweise durch den Abschluss von Versicherungsverträgen oder durch das Schließen offener Positionen mit Hilfe von Derivaten auf andere Marktteilnehmer übertragen werden. Dadurch werden bestimmte Risiken abgesichert oder in ihren Auswirkungen gemindert. Das Risikocontrolling stellt die Überwachung der laufenden Wirksamkeit der getroffenen Maßnahmen sicher.</w:t>
      </w:r>
    </w:p>
    <w:p>
      <w:pPr>
        <w:pStyle w:val="Randziffer"/>
      </w:pPr>
      <w:r>
        <w:t xml:space="preserve">Zum Zwecke der Risikoberichterstattung sind feste Kommunikationswege und Informationsempfänger bestimmt. Die für die Risikosteuerung relevanten Daten werden vom Risikocontrolling zu einem internen Berichtswesen aufbereitet und verdichtet. Die Informationsweitergabe erfolgt dabei entweder im Rahmen einer regelmäßigen Risikoberichterstattung oder in Form einer ad hoc-Berichterstattung. </w:t>
      </w:r>
    </w:p>
    <w:p>
      <w:pPr>
        <w:pStyle w:val="Randziffer"/>
      </w:pPr>
      <w:r>
        <w:t>Die in unserem Haus angewendeten Risikomessverfahren entsprechen gängigen Standards und richten sich im Rahmen der Proportionalität am Risikogehalt der Positionen aus. Die bei uns eingesetzten Verfahren sind geeignet, die Risikotragfähigkeit nachhaltig sicherzustellen. Die beschriebenen Risikoziele werden durch die bei uns eingesetzten Verfahren messbar, transparent und kontrollierbar. Die eingerichteten Risikomanagementsysteme entsprechen dem Profil und der Strategie unseres Hauses. Wir erachten unser Risikomanagementverfahren als angemessen und wirksam.</w:t>
      </w:r>
    </w:p>
    <w:p>
      <w:pPr>
        <w:pStyle w:val="Randziffer"/>
      </w:pPr>
      <w:r>
        <w:t>Die Risikotragfähigkeit beurteilen wir, indem die als wesentlich eingestuften Risiken quartalsweise am verfügbaren Gesamtbank-Risikolimit gemessen werden. Im Rahmen unserer Ergebnis-Vorschaurechnung beurteilen wir die Angemessenheit des internen Kapitals zur Unterlegung der zukünftigen Aktivitäten.</w:t>
      </w:r>
    </w:p>
    <w:p>
      <w:pPr>
        <w:pStyle w:val="Randziffer"/>
      </w:pPr>
      <w:r>
        <w:t>Per 31.12.2019 betrug das Gesamtbank-Risikolimit 24 Mio. €, die Auslastung dieses Limits lag bei 73 % (Folgejahrbetrachtung 2020).</w:t>
      </w:r>
    </w:p>
    <w:p>
      <w:pPr>
        <w:pStyle w:val="Randziffer"/>
      </w:pPr>
      <w:r>
        <w:t>Seitens unserer Vorstandsmitglieder werden drei Aufsichtsmandate und keine weiteren Leitungsmandate ausgeübt. Die Aufsichtsratsmitglieder üben über ihre berufliche Tätigkeit hinaus keine weiteren Leitungs- und Aufsichtsfunktionen aus.</w:t>
      </w:r>
    </w:p>
    <w:p>
      <w:pPr>
        <w:pStyle w:val="Randziffer"/>
      </w:pPr>
      <w:r>
        <w:t>Die Aufsichtsratsmitglieder tragen in ihrer Gesamtheit und über andere gebildete Ausschüsse die Verantwortung für die Überwachung der Geschäftsführung des Vorstands. Hierzu fanden im vergangenen Jahr sieben Aufsichtsratssitzungen und acht AR-Ausschusssitzungen statt. Einen separaten Risikoausschuss gibt es in unserem Haus nicht.</w:t>
      </w:r>
    </w:p>
    <w:p>
      <w:pPr>
        <w:pStyle w:val="Randziffer"/>
      </w:pPr>
      <w:r>
        <w:t xml:space="preserve">Der Aufsichtsrat erhält (mindestens) vierteljährlich einen Bericht über die Risikoentwicklung, in dem u. a. ein Überblick über die wesentlichen Risiken, Informationen zur Risikotragfähigkeit sowie zur </w:t>
      </w:r>
      <w:proofErr w:type="spellStart"/>
      <w:r>
        <w:t>Limitauslastung</w:t>
      </w:r>
      <w:proofErr w:type="spellEnd"/>
      <w:r>
        <w:t xml:space="preserve"> dargestellt ist. Unter Risikogesichtspunkten wesentliche Informationen werden dem Aufsichtsrat unverzüglich weitergeleitet, im vergangenen Jahr gab es keine Ad-hoc Berichterstattungen. </w:t>
      </w:r>
    </w:p>
    <w:p>
      <w:pPr>
        <w:pStyle w:val="Randziffer"/>
      </w:pPr>
      <w:r>
        <w:t>Die Auswahl der Mitglieder der Geschäftsleitung erfolgt unter Beachtung des Allgemeinen Gleichbehandlungsgesetzes auf Basis der fachlichen Qualifikation durch den Aufsichtsrat. Die Auswahl der Mitglieder des Aufsichtsrats erfolgt durch die Vertreterversammlung unter Beachtung entsprechender gesetzlicher Vorgaben.</w:t>
      </w:r>
    </w:p>
    <w:p>
      <w:pPr>
        <w:spacing w:before="0" w:after="0"/>
        <w:jc w:val="left"/>
        <w:rPr>
          <w:rFonts w:cs="Arial"/>
        </w:rPr>
      </w:pPr>
      <w:r>
        <w:rPr>
          <w:rFonts w:cs="Arial"/>
        </w:rPr>
        <w:br w:type="page"/>
      </w:r>
    </w:p>
    <w:p>
      <w:pPr>
        <w:pStyle w:val="berschrift1"/>
      </w:pPr>
      <w:bookmarkStart w:id="5" w:name="_Toc341362626"/>
      <w:bookmarkStart w:id="6" w:name="_Toc436146676"/>
    </w:p>
    <w:p>
      <w:pPr>
        <w:pStyle w:val="berschrift1"/>
      </w:pPr>
      <w:r>
        <w:t>Eigenmittel</w:t>
      </w:r>
      <w:bookmarkEnd w:id="5"/>
      <w:r>
        <w:t xml:space="preserve"> (Art. 437)</w:t>
      </w:r>
      <w:bookmarkEnd w:id="6"/>
    </w:p>
    <w:p>
      <w:pPr>
        <w:pStyle w:val="Randziffer"/>
        <w:ind w:hanging="357"/>
      </w:pPr>
      <w:r>
        <w:t>Die wesentlichen Bedingungen und Konditionen zu unseren CRR-konformen vertraglich geregelten Kapitalinstrumenten sind in Anhang I („Offenlegung der Kapitalinstrumente“) dargestellt. Darüber hinaus nehmen wir Übergangsbestimmungen in Anspruch.</w:t>
      </w:r>
    </w:p>
    <w:p>
      <w:pPr>
        <w:pStyle w:val="Randziffer"/>
        <w:ind w:hanging="357"/>
      </w:pPr>
      <w:r>
        <w:t>Unsere Eigenmittel inkl. der Eigenmittelquoten sind im Anhang II („Offenlegung der Eigenmittel“) detailliert dargestellt:</w:t>
      </w:r>
    </w:p>
    <w:p>
      <w:pPr>
        <w:pStyle w:val="Randziffer"/>
        <w:numPr>
          <w:ilvl w:val="0"/>
          <w:numId w:val="0"/>
        </w:numPr>
        <w:ind w:left="360"/>
      </w:pPr>
    </w:p>
    <w:tbl>
      <w:tblPr>
        <w:tblStyle w:val="HelleListe-Akzent3"/>
        <w:tblW w:w="8788" w:type="dxa"/>
        <w:tblInd w:w="534" w:type="dxa"/>
        <w:tblBorders>
          <w:top w:val="single" w:sz="8" w:space="0" w:color="595959" w:themeColor="text1" w:themeTint="A6"/>
          <w:left w:val="single" w:sz="8" w:space="0" w:color="595959" w:themeColor="text1" w:themeTint="A6"/>
          <w:bottom w:val="single" w:sz="6" w:space="0" w:color="595959" w:themeColor="text1" w:themeTint="A6"/>
          <w:right w:val="single" w:sz="8" w:space="0" w:color="595959" w:themeColor="text1" w:themeTint="A6"/>
          <w:insideH w:val="single" w:sz="6" w:space="0" w:color="FFFFFF" w:themeColor="background1"/>
          <w:insideV w:val="single" w:sz="6" w:space="0" w:color="FFFFFF" w:themeColor="background1"/>
        </w:tblBorders>
        <w:shd w:val="clear" w:color="auto" w:fill="595959" w:themeFill="text1" w:themeFillTint="A6"/>
        <w:tblLook w:val="0620" w:firstRow="1" w:lastRow="0" w:firstColumn="0" w:lastColumn="0" w:noHBand="1" w:noVBand="1"/>
      </w:tblPr>
      <w:tblGrid>
        <w:gridCol w:w="6804"/>
        <w:gridCol w:w="1984"/>
      </w:tblGrid>
      <w:tr>
        <w:trPr>
          <w:cnfStyle w:val="100000000000" w:firstRow="1" w:lastRow="0" w:firstColumn="0" w:lastColumn="0" w:oddVBand="0" w:evenVBand="0" w:oddHBand="0" w:evenHBand="0" w:firstRowFirstColumn="0" w:firstRowLastColumn="0" w:lastRowFirstColumn="0" w:lastRowLastColumn="0"/>
        </w:trPr>
        <w:tc>
          <w:tcPr>
            <w:tcW w:w="6804" w:type="dxa"/>
            <w:shd w:val="clear" w:color="auto" w:fill="00B0F0"/>
          </w:tcPr>
          <w:p>
            <w:pPr>
              <w:rPr>
                <w:sz w:val="20"/>
                <w:szCs w:val="20"/>
              </w:rPr>
            </w:pPr>
            <w:r>
              <w:br w:type="page"/>
            </w:r>
            <w:r>
              <w:rPr>
                <w:sz w:val="20"/>
                <w:szCs w:val="20"/>
              </w:rPr>
              <w:t xml:space="preserve">Überleitung vom bilanziellen Eigenkapital auf die </w:t>
            </w:r>
          </w:p>
          <w:p>
            <w:pPr>
              <w:rPr>
                <w:sz w:val="20"/>
                <w:szCs w:val="20"/>
              </w:rPr>
            </w:pPr>
            <w:r>
              <w:rPr>
                <w:sz w:val="20"/>
                <w:szCs w:val="20"/>
              </w:rPr>
              <w:t>aufsichtsrechtlichen Eigenmittel</w:t>
            </w:r>
          </w:p>
        </w:tc>
        <w:tc>
          <w:tcPr>
            <w:tcW w:w="1984" w:type="dxa"/>
            <w:shd w:val="clear" w:color="auto" w:fill="00B0F0"/>
            <w:vAlign w:val="center"/>
          </w:tcPr>
          <w:p>
            <w:pPr>
              <w:ind w:right="255"/>
              <w:jc w:val="right"/>
              <w:rPr>
                <w:sz w:val="18"/>
                <w:szCs w:val="18"/>
              </w:rPr>
            </w:pPr>
            <w:r>
              <w:rPr>
                <w:sz w:val="18"/>
                <w:szCs w:val="18"/>
              </w:rPr>
              <w:t>TEUR</w:t>
            </w:r>
          </w:p>
        </w:tc>
      </w:tr>
    </w:tbl>
    <w:tbl>
      <w:tblPr>
        <w:tblStyle w:val="Tabellenraster"/>
        <w:tblW w:w="8788" w:type="dxa"/>
        <w:tblInd w:w="534" w:type="dxa"/>
        <w:tblLook w:val="04A0" w:firstRow="1" w:lastRow="0" w:firstColumn="1" w:lastColumn="0" w:noHBand="0" w:noVBand="1"/>
      </w:tblPr>
      <w:tblGrid>
        <w:gridCol w:w="6804"/>
        <w:gridCol w:w="1984"/>
      </w:tblGrid>
      <w:tr>
        <w:trPr>
          <w:trHeight w:val="597"/>
        </w:trPr>
        <w:tc>
          <w:tcPr>
            <w:tcW w:w="6804" w:type="dxa"/>
            <w:shd w:val="clear" w:color="auto" w:fill="auto"/>
            <w:vAlign w:val="center"/>
          </w:tcPr>
          <w:p>
            <w:pPr>
              <w:spacing w:before="20" w:after="20"/>
              <w:jc w:val="left"/>
            </w:pPr>
            <w:r>
              <w:rPr>
                <w:rFonts w:cs="Arial"/>
                <w:b/>
                <w:color w:val="000000"/>
                <w:sz w:val="18"/>
                <w:szCs w:val="18"/>
              </w:rPr>
              <w:t>Eigenkapital</w:t>
            </w:r>
            <w:r>
              <w:rPr>
                <w:b/>
                <w:sz w:val="18"/>
                <w:szCs w:val="18"/>
              </w:rPr>
              <w:t xml:space="preserve"> per Bilanzausweis (Passiva 9 bis 12)</w:t>
            </w:r>
          </w:p>
        </w:tc>
        <w:tc>
          <w:tcPr>
            <w:tcW w:w="1984" w:type="dxa"/>
            <w:shd w:val="clear" w:color="auto" w:fill="auto"/>
            <w:vAlign w:val="center"/>
          </w:tcPr>
          <w:p>
            <w:pPr>
              <w:spacing w:before="20" w:after="20"/>
              <w:ind w:right="255"/>
              <w:jc w:val="right"/>
              <w:rPr>
                <w:rFonts w:cs="Arial"/>
                <w:b/>
                <w:sz w:val="18"/>
                <w:szCs w:val="18"/>
              </w:rPr>
            </w:pPr>
            <w:r>
              <w:rPr>
                <w:rFonts w:cs="Arial"/>
                <w:b/>
                <w:sz w:val="18"/>
                <w:szCs w:val="18"/>
              </w:rPr>
              <w:t>71.890</w:t>
            </w:r>
          </w:p>
        </w:tc>
      </w:tr>
      <w:tr>
        <w:trPr>
          <w:trHeight w:val="560"/>
        </w:trPr>
        <w:tc>
          <w:tcPr>
            <w:tcW w:w="6804" w:type="dxa"/>
            <w:shd w:val="clear" w:color="auto" w:fill="auto"/>
            <w:vAlign w:val="center"/>
          </w:tcPr>
          <w:p>
            <w:pPr>
              <w:spacing w:before="20" w:after="20"/>
              <w:jc w:val="left"/>
              <w:rPr>
                <w:i/>
                <w:sz w:val="18"/>
                <w:szCs w:val="18"/>
              </w:rPr>
            </w:pPr>
            <w:r>
              <w:rPr>
                <w:i/>
                <w:sz w:val="18"/>
                <w:szCs w:val="18"/>
              </w:rPr>
              <w:t>Korrekturen / Anpassungen</w:t>
            </w:r>
          </w:p>
        </w:tc>
        <w:tc>
          <w:tcPr>
            <w:tcW w:w="1984" w:type="dxa"/>
            <w:shd w:val="clear" w:color="auto" w:fill="auto"/>
            <w:vAlign w:val="center"/>
          </w:tcPr>
          <w:p>
            <w:pPr>
              <w:spacing w:before="20" w:after="20"/>
              <w:ind w:right="255"/>
              <w:jc w:val="right"/>
              <w:rPr>
                <w:rFonts w:cs="Arial"/>
                <w:sz w:val="18"/>
                <w:szCs w:val="18"/>
              </w:rPr>
            </w:pPr>
          </w:p>
        </w:tc>
      </w:tr>
      <w:tr>
        <w:trPr>
          <w:trHeight w:val="424"/>
        </w:trPr>
        <w:tc>
          <w:tcPr>
            <w:tcW w:w="6804" w:type="dxa"/>
            <w:shd w:val="clear" w:color="auto" w:fill="auto"/>
            <w:vAlign w:val="center"/>
          </w:tcPr>
          <w:p>
            <w:pPr>
              <w:spacing w:before="20" w:after="20"/>
              <w:jc w:val="left"/>
              <w:rPr>
                <w:sz w:val="18"/>
                <w:szCs w:val="18"/>
              </w:rPr>
            </w:pPr>
            <w:r>
              <w:rPr>
                <w:sz w:val="18"/>
                <w:szCs w:val="18"/>
              </w:rPr>
              <w:t xml:space="preserve">   -      Bilanzielle Zuführungen (z.B. zu Ergebnisrücklagen, Bilanzgewinn etc.*)</w:t>
            </w:r>
          </w:p>
        </w:tc>
        <w:tc>
          <w:tcPr>
            <w:tcW w:w="1984" w:type="dxa"/>
            <w:shd w:val="clear" w:color="auto" w:fill="auto"/>
            <w:vAlign w:val="center"/>
          </w:tcPr>
          <w:p>
            <w:pPr>
              <w:spacing w:before="20" w:after="20"/>
              <w:ind w:right="255"/>
              <w:jc w:val="right"/>
              <w:rPr>
                <w:rFonts w:cs="Arial"/>
                <w:sz w:val="18"/>
                <w:szCs w:val="18"/>
              </w:rPr>
            </w:pPr>
            <w:r>
              <w:rPr>
                <w:rFonts w:cs="Arial"/>
                <w:sz w:val="18"/>
                <w:szCs w:val="18"/>
              </w:rPr>
              <w:t>- 3.790</w:t>
            </w:r>
          </w:p>
        </w:tc>
      </w:tr>
      <w:tr>
        <w:trPr>
          <w:trHeight w:val="459"/>
        </w:trPr>
        <w:tc>
          <w:tcPr>
            <w:tcW w:w="6804" w:type="dxa"/>
            <w:shd w:val="clear" w:color="auto" w:fill="auto"/>
            <w:vAlign w:val="center"/>
          </w:tcPr>
          <w:p>
            <w:pPr>
              <w:spacing w:before="20" w:after="20"/>
              <w:jc w:val="left"/>
              <w:rPr>
                <w:sz w:val="18"/>
                <w:szCs w:val="18"/>
              </w:rPr>
            </w:pPr>
            <w:r>
              <w:rPr>
                <w:sz w:val="18"/>
                <w:szCs w:val="18"/>
              </w:rPr>
              <w:t xml:space="preserve">   -      Gekündigte Geschäftsguthaben</w:t>
            </w:r>
          </w:p>
        </w:tc>
        <w:tc>
          <w:tcPr>
            <w:tcW w:w="1984" w:type="dxa"/>
            <w:shd w:val="clear" w:color="auto" w:fill="auto"/>
            <w:vAlign w:val="center"/>
          </w:tcPr>
          <w:p>
            <w:pPr>
              <w:spacing w:before="20" w:after="20"/>
              <w:ind w:right="255"/>
              <w:jc w:val="right"/>
              <w:rPr>
                <w:rFonts w:cs="Arial"/>
                <w:sz w:val="18"/>
                <w:szCs w:val="18"/>
              </w:rPr>
            </w:pPr>
            <w:r>
              <w:rPr>
                <w:rFonts w:cs="Arial"/>
                <w:sz w:val="18"/>
                <w:szCs w:val="18"/>
              </w:rPr>
              <w:t>- 112</w:t>
            </w:r>
          </w:p>
        </w:tc>
      </w:tr>
      <w:tr>
        <w:trPr>
          <w:trHeight w:val="465"/>
        </w:trPr>
        <w:tc>
          <w:tcPr>
            <w:tcW w:w="6804" w:type="dxa"/>
            <w:shd w:val="clear" w:color="auto" w:fill="auto"/>
            <w:vAlign w:val="center"/>
          </w:tcPr>
          <w:p>
            <w:pPr>
              <w:pStyle w:val="Listenabsatz"/>
              <w:numPr>
                <w:ilvl w:val="0"/>
                <w:numId w:val="33"/>
              </w:numPr>
              <w:spacing w:before="20" w:after="20"/>
              <w:jc w:val="left"/>
              <w:rPr>
                <w:sz w:val="18"/>
                <w:szCs w:val="18"/>
              </w:rPr>
            </w:pPr>
            <w:r>
              <w:rPr>
                <w:sz w:val="18"/>
                <w:szCs w:val="18"/>
              </w:rPr>
              <w:t xml:space="preserve">Nicht CRR-konformes Ergänzungskapital </w:t>
            </w:r>
          </w:p>
        </w:tc>
        <w:tc>
          <w:tcPr>
            <w:tcW w:w="1984" w:type="dxa"/>
            <w:shd w:val="clear" w:color="auto" w:fill="auto"/>
            <w:vAlign w:val="center"/>
          </w:tcPr>
          <w:p>
            <w:pPr>
              <w:spacing w:before="20" w:after="20"/>
              <w:ind w:right="255"/>
              <w:jc w:val="right"/>
              <w:rPr>
                <w:rFonts w:cs="Arial"/>
                <w:sz w:val="18"/>
                <w:szCs w:val="18"/>
              </w:rPr>
            </w:pPr>
            <w:r>
              <w:rPr>
                <w:rFonts w:cs="Arial"/>
                <w:sz w:val="18"/>
                <w:szCs w:val="18"/>
              </w:rPr>
              <w:t>0</w:t>
            </w:r>
          </w:p>
        </w:tc>
      </w:tr>
      <w:tr>
        <w:trPr>
          <w:trHeight w:val="470"/>
        </w:trPr>
        <w:tc>
          <w:tcPr>
            <w:tcW w:w="6804" w:type="dxa"/>
            <w:shd w:val="clear" w:color="auto" w:fill="auto"/>
            <w:vAlign w:val="center"/>
          </w:tcPr>
          <w:p>
            <w:pPr>
              <w:spacing w:before="20" w:after="20"/>
              <w:jc w:val="left"/>
              <w:rPr>
                <w:sz w:val="18"/>
                <w:szCs w:val="18"/>
              </w:rPr>
            </w:pPr>
            <w:r>
              <w:rPr>
                <w:sz w:val="18"/>
                <w:szCs w:val="18"/>
              </w:rPr>
              <w:t xml:space="preserve">   +     Kreditrisikoanpassung</w:t>
            </w:r>
          </w:p>
        </w:tc>
        <w:tc>
          <w:tcPr>
            <w:tcW w:w="1984" w:type="dxa"/>
            <w:shd w:val="clear" w:color="auto" w:fill="auto"/>
            <w:vAlign w:val="center"/>
          </w:tcPr>
          <w:p>
            <w:pPr>
              <w:spacing w:before="20" w:after="20"/>
              <w:ind w:right="255"/>
              <w:jc w:val="right"/>
              <w:rPr>
                <w:rFonts w:cs="Arial"/>
                <w:sz w:val="18"/>
                <w:szCs w:val="18"/>
              </w:rPr>
            </w:pPr>
            <w:r>
              <w:rPr>
                <w:rFonts w:cs="Arial"/>
                <w:sz w:val="18"/>
                <w:szCs w:val="18"/>
              </w:rPr>
              <w:t>5.213</w:t>
            </w:r>
          </w:p>
        </w:tc>
      </w:tr>
      <w:tr>
        <w:trPr>
          <w:trHeight w:val="476"/>
        </w:trPr>
        <w:tc>
          <w:tcPr>
            <w:tcW w:w="6804" w:type="dxa"/>
            <w:shd w:val="clear" w:color="auto" w:fill="auto"/>
            <w:vAlign w:val="center"/>
          </w:tcPr>
          <w:p>
            <w:pPr>
              <w:spacing w:before="20" w:after="20"/>
              <w:jc w:val="left"/>
              <w:rPr>
                <w:sz w:val="18"/>
                <w:szCs w:val="18"/>
              </w:rPr>
            </w:pPr>
            <w:r>
              <w:rPr>
                <w:sz w:val="18"/>
                <w:szCs w:val="18"/>
              </w:rPr>
              <w:t xml:space="preserve">   +     Bestandsschutz für Kapitalinstrumente (Übergangsbestimmungen)</w:t>
            </w:r>
          </w:p>
        </w:tc>
        <w:tc>
          <w:tcPr>
            <w:tcW w:w="1984" w:type="dxa"/>
            <w:shd w:val="clear" w:color="auto" w:fill="auto"/>
            <w:vAlign w:val="center"/>
          </w:tcPr>
          <w:p>
            <w:pPr>
              <w:spacing w:before="20" w:after="20"/>
              <w:ind w:right="255"/>
              <w:jc w:val="right"/>
              <w:rPr>
                <w:rFonts w:cs="Arial"/>
                <w:sz w:val="18"/>
                <w:szCs w:val="18"/>
              </w:rPr>
            </w:pPr>
            <w:r>
              <w:rPr>
                <w:rFonts w:cs="Arial"/>
                <w:sz w:val="18"/>
                <w:szCs w:val="18"/>
              </w:rPr>
              <w:t>2.883</w:t>
            </w:r>
          </w:p>
        </w:tc>
      </w:tr>
      <w:tr>
        <w:trPr>
          <w:trHeight w:val="469"/>
        </w:trPr>
        <w:tc>
          <w:tcPr>
            <w:tcW w:w="6804" w:type="dxa"/>
            <w:shd w:val="clear" w:color="auto" w:fill="auto"/>
            <w:vAlign w:val="center"/>
          </w:tcPr>
          <w:p>
            <w:pPr>
              <w:spacing w:before="20" w:after="20"/>
              <w:jc w:val="left"/>
              <w:rPr>
                <w:sz w:val="18"/>
                <w:szCs w:val="18"/>
              </w:rPr>
            </w:pPr>
            <w:r>
              <w:rPr>
                <w:sz w:val="18"/>
                <w:szCs w:val="18"/>
              </w:rPr>
              <w:t xml:space="preserve">   +/-   Sonstige Anpassungen</w:t>
            </w:r>
          </w:p>
        </w:tc>
        <w:tc>
          <w:tcPr>
            <w:tcW w:w="1984" w:type="dxa"/>
            <w:shd w:val="clear" w:color="auto" w:fill="auto"/>
            <w:vAlign w:val="center"/>
          </w:tcPr>
          <w:p>
            <w:pPr>
              <w:spacing w:before="20" w:after="20"/>
              <w:ind w:right="255"/>
              <w:jc w:val="right"/>
              <w:rPr>
                <w:rFonts w:cs="Arial"/>
                <w:sz w:val="18"/>
                <w:szCs w:val="18"/>
              </w:rPr>
            </w:pPr>
            <w:r>
              <w:rPr>
                <w:rFonts w:cs="Arial"/>
                <w:sz w:val="18"/>
                <w:szCs w:val="18"/>
              </w:rPr>
              <w:t>- 69</w:t>
            </w:r>
          </w:p>
        </w:tc>
      </w:tr>
      <w:tr>
        <w:trPr>
          <w:trHeight w:val="603"/>
        </w:trPr>
        <w:tc>
          <w:tcPr>
            <w:tcW w:w="6804" w:type="dxa"/>
            <w:shd w:val="clear" w:color="auto" w:fill="auto"/>
            <w:vAlign w:val="center"/>
          </w:tcPr>
          <w:p>
            <w:pPr>
              <w:spacing w:before="20" w:after="20"/>
              <w:jc w:val="left"/>
              <w:rPr>
                <w:b/>
                <w:sz w:val="18"/>
                <w:szCs w:val="18"/>
              </w:rPr>
            </w:pPr>
            <w:r>
              <w:rPr>
                <w:b/>
                <w:sz w:val="18"/>
                <w:szCs w:val="18"/>
              </w:rPr>
              <w:t xml:space="preserve">Aufsichtsrechtliche </w:t>
            </w:r>
            <w:r>
              <w:rPr>
                <w:rFonts w:cs="Arial"/>
                <w:b/>
                <w:color w:val="000000"/>
                <w:sz w:val="18"/>
                <w:szCs w:val="18"/>
              </w:rPr>
              <w:t>Eigenmittel</w:t>
            </w:r>
          </w:p>
        </w:tc>
        <w:tc>
          <w:tcPr>
            <w:tcW w:w="1984" w:type="dxa"/>
            <w:shd w:val="clear" w:color="auto" w:fill="auto"/>
            <w:vAlign w:val="center"/>
          </w:tcPr>
          <w:p>
            <w:pPr>
              <w:spacing w:before="20" w:after="20"/>
              <w:ind w:right="255"/>
              <w:jc w:val="right"/>
              <w:rPr>
                <w:rFonts w:cs="Arial"/>
                <w:sz w:val="18"/>
                <w:szCs w:val="18"/>
              </w:rPr>
            </w:pPr>
            <w:r>
              <w:rPr>
                <w:rFonts w:cs="Arial"/>
                <w:sz w:val="18"/>
                <w:szCs w:val="18"/>
              </w:rPr>
              <w:t>76.015</w:t>
            </w:r>
          </w:p>
        </w:tc>
      </w:tr>
    </w:tbl>
    <w:p>
      <w:pPr>
        <w:pStyle w:val="Listenabsatz"/>
        <w:ind w:left="0"/>
        <w:rPr>
          <w:sz w:val="18"/>
          <w:szCs w:val="18"/>
        </w:rPr>
      </w:pPr>
      <w:r>
        <w:rPr>
          <w:sz w:val="18"/>
          <w:szCs w:val="18"/>
        </w:rPr>
        <w:t xml:space="preserve">         *werden erst mit Feststellung des Jahresabschlusses berücksichtigt</w:t>
      </w:r>
    </w:p>
    <w:p>
      <w:pPr>
        <w:spacing w:before="0" w:after="0"/>
        <w:jc w:val="left"/>
      </w:pPr>
      <w:r>
        <w:br w:type="page"/>
      </w:r>
    </w:p>
    <w:p>
      <w:pPr>
        <w:spacing w:before="0" w:after="0"/>
        <w:jc w:val="left"/>
      </w:pPr>
    </w:p>
    <w:p>
      <w:pPr>
        <w:pStyle w:val="berschrift1"/>
      </w:pPr>
      <w:bookmarkStart w:id="7" w:name="_Toc436146677"/>
      <w:r>
        <w:t>Eigenmittelanforderungen (Art. 438)</w:t>
      </w:r>
      <w:bookmarkEnd w:id="7"/>
    </w:p>
    <w:p>
      <w:pPr>
        <w:pStyle w:val="Randziffer"/>
      </w:pPr>
      <w:r>
        <w:t>Folgende Kapitalanforderungen, die sich für die einzelnen Risikopositionen (Kreditrisiken, Marktrisiken, Operationelle Risiken, CVA-Risiken) ergeben, haben wir erfüllt:</w:t>
      </w:r>
    </w:p>
    <w:tbl>
      <w:tblPr>
        <w:tblW w:w="9043"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790"/>
        <w:gridCol w:w="2253"/>
      </w:tblGrid>
      <w:tr>
        <w:trPr>
          <w:cantSplit/>
        </w:trPr>
        <w:tc>
          <w:tcPr>
            <w:tcW w:w="6790" w:type="dxa"/>
            <w:tcBorders>
              <w:bottom w:val="single" w:sz="8" w:space="0" w:color="auto"/>
            </w:tcBorders>
            <w:shd w:val="clear" w:color="auto" w:fill="00B0F0"/>
            <w:vAlign w:val="center"/>
          </w:tcPr>
          <w:p>
            <w:pPr>
              <w:autoSpaceDE w:val="0"/>
              <w:autoSpaceDN w:val="0"/>
              <w:adjustRightInd w:val="0"/>
              <w:spacing w:before="0" w:after="0"/>
              <w:jc w:val="left"/>
              <w:rPr>
                <w:rFonts w:cs="Arial"/>
                <w:b/>
                <w:color w:val="FFFFFF"/>
                <w:sz w:val="18"/>
                <w:szCs w:val="18"/>
              </w:rPr>
            </w:pPr>
            <w:r>
              <w:rPr>
                <w:rFonts w:cs="Arial"/>
                <w:b/>
                <w:color w:val="FFFFFF" w:themeColor="background1"/>
                <w:sz w:val="18"/>
                <w:szCs w:val="18"/>
              </w:rPr>
              <w:t>Risikopositionen</w:t>
            </w:r>
          </w:p>
        </w:tc>
        <w:tc>
          <w:tcPr>
            <w:tcW w:w="2253" w:type="dxa"/>
            <w:tcBorders>
              <w:bottom w:val="single" w:sz="8" w:space="0" w:color="auto"/>
            </w:tcBorders>
            <w:shd w:val="clear" w:color="auto" w:fill="00B0F0"/>
            <w:vAlign w:val="center"/>
          </w:tcPr>
          <w:p>
            <w:pPr>
              <w:autoSpaceDE w:val="0"/>
              <w:autoSpaceDN w:val="0"/>
              <w:adjustRightInd w:val="0"/>
              <w:spacing w:before="0" w:after="0"/>
              <w:ind w:right="255"/>
              <w:jc w:val="right"/>
              <w:rPr>
                <w:rFonts w:cs="Arial"/>
                <w:b/>
                <w:color w:val="FFFFFF" w:themeColor="background1"/>
                <w:sz w:val="18"/>
                <w:szCs w:val="18"/>
              </w:rPr>
            </w:pPr>
            <w:r>
              <w:rPr>
                <w:rFonts w:cs="Arial"/>
                <w:b/>
                <w:color w:val="FFFFFF" w:themeColor="background1"/>
                <w:sz w:val="18"/>
                <w:szCs w:val="18"/>
              </w:rPr>
              <w:t>Eigenmittel-</w:t>
            </w:r>
          </w:p>
          <w:p>
            <w:pPr>
              <w:autoSpaceDE w:val="0"/>
              <w:autoSpaceDN w:val="0"/>
              <w:adjustRightInd w:val="0"/>
              <w:spacing w:before="0" w:after="0"/>
              <w:ind w:right="255"/>
              <w:jc w:val="right"/>
              <w:rPr>
                <w:rFonts w:cs="Arial"/>
                <w:b/>
                <w:color w:val="FFFFFF" w:themeColor="background1"/>
                <w:sz w:val="18"/>
                <w:szCs w:val="18"/>
              </w:rPr>
            </w:pPr>
            <w:proofErr w:type="spellStart"/>
            <w:r>
              <w:rPr>
                <w:rFonts w:cs="Arial"/>
                <w:b/>
                <w:color w:val="FFFFFF" w:themeColor="background1"/>
                <w:sz w:val="18"/>
                <w:szCs w:val="18"/>
              </w:rPr>
              <w:t>anforderungen</w:t>
            </w:r>
            <w:proofErr w:type="spellEnd"/>
          </w:p>
          <w:p>
            <w:pPr>
              <w:autoSpaceDE w:val="0"/>
              <w:autoSpaceDN w:val="0"/>
              <w:adjustRightInd w:val="0"/>
              <w:spacing w:before="0" w:after="0"/>
              <w:ind w:right="255"/>
              <w:jc w:val="right"/>
              <w:rPr>
                <w:rFonts w:cs="Arial"/>
                <w:b/>
                <w:color w:val="FFFFFF" w:themeColor="background1"/>
                <w:sz w:val="18"/>
                <w:szCs w:val="18"/>
              </w:rPr>
            </w:pPr>
            <w:r>
              <w:rPr>
                <w:rFonts w:cs="Arial"/>
                <w:b/>
                <w:color w:val="FFFFFF" w:themeColor="background1"/>
                <w:sz w:val="18"/>
                <w:szCs w:val="18"/>
              </w:rPr>
              <w:t>TEUR</w:t>
            </w:r>
          </w:p>
        </w:tc>
      </w:tr>
      <w:tr>
        <w:trPr>
          <w:cantSplit/>
        </w:trPr>
        <w:tc>
          <w:tcPr>
            <w:tcW w:w="9043" w:type="dxa"/>
            <w:gridSpan w:val="2"/>
            <w:shd w:val="clear" w:color="auto" w:fill="auto"/>
            <w:vAlign w:val="bottom"/>
          </w:tcPr>
          <w:p>
            <w:pPr>
              <w:spacing w:before="20" w:after="20"/>
              <w:jc w:val="left"/>
              <w:rPr>
                <w:rFonts w:cs="Arial"/>
                <w:color w:val="000000"/>
                <w:sz w:val="18"/>
                <w:szCs w:val="18"/>
              </w:rPr>
            </w:pPr>
            <w:r>
              <w:rPr>
                <w:rFonts w:cs="Arial"/>
                <w:b/>
                <w:color w:val="000000"/>
                <w:sz w:val="18"/>
                <w:szCs w:val="18"/>
              </w:rPr>
              <w:t>Kreditrisiken (Standardansatz)</w:t>
            </w:r>
          </w:p>
        </w:tc>
      </w:tr>
      <w:tr>
        <w:trPr>
          <w:cantSplit/>
        </w:trPr>
        <w:tc>
          <w:tcPr>
            <w:tcW w:w="6790" w:type="dxa"/>
            <w:shd w:val="clear" w:color="auto" w:fill="auto"/>
            <w:vAlign w:val="center"/>
          </w:tcPr>
          <w:p>
            <w:pPr>
              <w:spacing w:before="20" w:after="20"/>
              <w:jc w:val="left"/>
              <w:rPr>
                <w:rFonts w:cs="Arial"/>
                <w:color w:val="000000"/>
                <w:sz w:val="18"/>
                <w:szCs w:val="18"/>
              </w:rPr>
            </w:pPr>
            <w:r>
              <w:rPr>
                <w:rFonts w:cs="Arial"/>
                <w:sz w:val="18"/>
                <w:szCs w:val="18"/>
              </w:rPr>
              <w:t>Staaten oder Zentralbanken</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175</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Regionale oder lokale Gebietskörperschaften</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6</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Öffentliche Stellen</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1</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Multilaterale Entwicklungsbanken</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0</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Internationale Organisationen</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0</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Institute</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113</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Unternehmen</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16.966</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Mengengeschäft</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5.833</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Durch Immobilien besichert</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7.184</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Ausgefallene Positionen</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160</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Mit besonders hohem Risiko verbundene Positionen</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0</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Gedeckte Schuldverschreibungen</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74</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Positionen gegenüber Instituten und Unternehmen mit kurzfristiger Bonitätsbeurteilung</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0</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Organismen für gemeinsame Anlagen (OGA)</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1.117</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Beteiligungen</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1.467</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Sonstige Positionen</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270</w:t>
            </w:r>
          </w:p>
        </w:tc>
      </w:tr>
      <w:tr>
        <w:trPr>
          <w:cantSplit/>
        </w:trPr>
        <w:tc>
          <w:tcPr>
            <w:tcW w:w="6790" w:type="dxa"/>
            <w:shd w:val="clear" w:color="auto" w:fill="auto"/>
            <w:vAlign w:val="center"/>
          </w:tcPr>
          <w:p>
            <w:pPr>
              <w:spacing w:before="20" w:after="20"/>
              <w:jc w:val="left"/>
              <w:rPr>
                <w:rFonts w:cs="Arial"/>
                <w:sz w:val="18"/>
                <w:szCs w:val="18"/>
              </w:rPr>
            </w:pPr>
            <w:r>
              <w:rPr>
                <w:rFonts w:cs="Arial"/>
                <w:color w:val="000000"/>
                <w:sz w:val="18"/>
                <w:szCs w:val="18"/>
              </w:rPr>
              <w:t>Verbriefungspositionen nach SA</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0</w:t>
            </w:r>
          </w:p>
        </w:tc>
      </w:tr>
      <w:tr>
        <w:trPr>
          <w:cantSplit/>
        </w:trPr>
        <w:tc>
          <w:tcPr>
            <w:tcW w:w="6790" w:type="dxa"/>
            <w:shd w:val="clear" w:color="auto" w:fill="auto"/>
            <w:vAlign w:val="center"/>
          </w:tcPr>
          <w:p>
            <w:pPr>
              <w:spacing w:before="20" w:after="20"/>
              <w:jc w:val="left"/>
              <w:rPr>
                <w:rFonts w:cs="Arial"/>
                <w:sz w:val="18"/>
                <w:szCs w:val="18"/>
              </w:rPr>
            </w:pPr>
            <w:r>
              <w:rPr>
                <w:rFonts w:cs="Arial"/>
                <w:color w:val="000000"/>
                <w:sz w:val="18"/>
                <w:szCs w:val="18"/>
              </w:rPr>
              <w:t xml:space="preserve">   darunter: Wiederverbriefung</w:t>
            </w:r>
            <w:r>
              <w:rPr>
                <w:rFonts w:cs="Arial"/>
                <w:color w:val="000000"/>
                <w:sz w:val="18"/>
                <w:szCs w:val="18"/>
                <w:vertAlign w:val="superscript"/>
              </w:rPr>
              <w:footnoteReference w:id="2"/>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0</w:t>
            </w:r>
          </w:p>
        </w:tc>
      </w:tr>
      <w:tr>
        <w:trPr>
          <w:cantSplit/>
        </w:trPr>
        <w:tc>
          <w:tcPr>
            <w:tcW w:w="9043" w:type="dxa"/>
            <w:gridSpan w:val="2"/>
            <w:shd w:val="clear" w:color="auto" w:fill="auto"/>
            <w:vAlign w:val="center"/>
          </w:tcPr>
          <w:p>
            <w:pPr>
              <w:spacing w:before="20" w:after="20"/>
              <w:jc w:val="left"/>
              <w:rPr>
                <w:rFonts w:cs="Arial"/>
                <w:b/>
                <w:color w:val="000000"/>
                <w:sz w:val="18"/>
                <w:szCs w:val="18"/>
              </w:rPr>
            </w:pPr>
            <w:r>
              <w:rPr>
                <w:rFonts w:cs="Arial"/>
                <w:b/>
                <w:sz w:val="18"/>
                <w:szCs w:val="18"/>
              </w:rPr>
              <w:t>Marktrisiken</w:t>
            </w:r>
          </w:p>
        </w:tc>
      </w:tr>
      <w:tr>
        <w:trPr>
          <w:cantSplit/>
        </w:trPr>
        <w:tc>
          <w:tcPr>
            <w:tcW w:w="6790" w:type="dxa"/>
            <w:shd w:val="clear" w:color="auto" w:fill="auto"/>
            <w:vAlign w:val="center"/>
          </w:tcPr>
          <w:p>
            <w:pPr>
              <w:spacing w:before="20" w:after="20"/>
              <w:jc w:val="left"/>
              <w:rPr>
                <w:rFonts w:cs="Arial"/>
                <w:color w:val="000000"/>
                <w:sz w:val="18"/>
                <w:szCs w:val="18"/>
              </w:rPr>
            </w:pPr>
            <w:r>
              <w:rPr>
                <w:rFonts w:cs="Arial"/>
                <w:color w:val="000000"/>
                <w:sz w:val="18"/>
                <w:szCs w:val="18"/>
              </w:rPr>
              <w:t xml:space="preserve">Risikopositionsbetrag für Positions-, Fremdwährungs- und Warenpositionsrisiken nach </w:t>
            </w:r>
            <w:r>
              <w:rPr>
                <w:rFonts w:cs="Arial"/>
                <w:sz w:val="18"/>
                <w:szCs w:val="18"/>
              </w:rPr>
              <w:t>Standardansatz</w:t>
            </w:r>
          </w:p>
        </w:tc>
        <w:tc>
          <w:tcPr>
            <w:tcW w:w="2253" w:type="dxa"/>
            <w:shd w:val="clear" w:color="auto" w:fill="auto"/>
            <w:vAlign w:val="center"/>
          </w:tcPr>
          <w:p>
            <w:pPr>
              <w:spacing w:before="20" w:after="20"/>
              <w:ind w:right="255"/>
              <w:jc w:val="right"/>
              <w:rPr>
                <w:rFonts w:cs="Arial"/>
                <w:color w:val="000000"/>
                <w:sz w:val="18"/>
                <w:szCs w:val="18"/>
              </w:rPr>
            </w:pPr>
            <w:r>
              <w:rPr>
                <w:rFonts w:cs="Arial"/>
                <w:sz w:val="18"/>
                <w:szCs w:val="18"/>
              </w:rPr>
              <w:t>244</w:t>
            </w:r>
          </w:p>
        </w:tc>
      </w:tr>
      <w:tr>
        <w:trPr>
          <w:cantSplit/>
        </w:trPr>
        <w:tc>
          <w:tcPr>
            <w:tcW w:w="9043" w:type="dxa"/>
            <w:gridSpan w:val="2"/>
            <w:shd w:val="clear" w:color="auto" w:fill="auto"/>
            <w:vAlign w:val="center"/>
          </w:tcPr>
          <w:p>
            <w:pPr>
              <w:spacing w:before="20" w:after="20"/>
              <w:jc w:val="left"/>
              <w:rPr>
                <w:rFonts w:cs="Arial"/>
                <w:b/>
                <w:color w:val="000000"/>
                <w:sz w:val="18"/>
                <w:szCs w:val="18"/>
              </w:rPr>
            </w:pPr>
            <w:r>
              <w:rPr>
                <w:rFonts w:cs="Arial"/>
                <w:b/>
                <w:color w:val="000000"/>
                <w:sz w:val="18"/>
                <w:szCs w:val="18"/>
              </w:rPr>
              <w:t>Operationelle Risiken</w:t>
            </w:r>
          </w:p>
        </w:tc>
      </w:tr>
      <w:tr>
        <w:trPr>
          <w:cantSplit/>
        </w:trPr>
        <w:tc>
          <w:tcPr>
            <w:tcW w:w="6790" w:type="dxa"/>
            <w:shd w:val="clear" w:color="auto" w:fill="auto"/>
            <w:vAlign w:val="center"/>
          </w:tcPr>
          <w:p>
            <w:pPr>
              <w:spacing w:before="20" w:after="20"/>
              <w:jc w:val="left"/>
              <w:rPr>
                <w:rFonts w:cs="Arial"/>
                <w:color w:val="000000"/>
                <w:sz w:val="18"/>
                <w:szCs w:val="18"/>
              </w:rPr>
            </w:pPr>
            <w:r>
              <w:rPr>
                <w:rFonts w:cs="Arial"/>
                <w:sz w:val="18"/>
                <w:szCs w:val="18"/>
              </w:rPr>
              <w:t>Basisindikatoransatz</w:t>
            </w:r>
            <w:r>
              <w:rPr>
                <w:rFonts w:cs="Arial"/>
                <w:color w:val="000000"/>
                <w:sz w:val="18"/>
                <w:szCs w:val="18"/>
              </w:rPr>
              <w:t xml:space="preserve"> für operationelle Risiken</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2.399</w:t>
            </w: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Gesamtrisikobetrag aufgrund Anpassung der Kreditbewertung (CVA)</w:t>
            </w:r>
          </w:p>
        </w:tc>
        <w:tc>
          <w:tcPr>
            <w:tcW w:w="2253" w:type="dxa"/>
            <w:shd w:val="clear" w:color="auto" w:fill="auto"/>
            <w:vAlign w:val="center"/>
          </w:tcPr>
          <w:p>
            <w:pPr>
              <w:spacing w:before="20" w:after="20"/>
              <w:jc w:val="right"/>
              <w:rPr>
                <w:rFonts w:cs="Arial"/>
                <w:sz w:val="18"/>
                <w:szCs w:val="18"/>
              </w:rPr>
            </w:pPr>
          </w:p>
        </w:tc>
      </w:tr>
      <w:tr>
        <w:trPr>
          <w:cantSplit/>
        </w:trPr>
        <w:tc>
          <w:tcPr>
            <w:tcW w:w="6790" w:type="dxa"/>
            <w:shd w:val="clear" w:color="auto" w:fill="auto"/>
            <w:vAlign w:val="center"/>
          </w:tcPr>
          <w:p>
            <w:pPr>
              <w:spacing w:before="20" w:after="20"/>
              <w:jc w:val="left"/>
              <w:rPr>
                <w:rFonts w:cs="Arial"/>
                <w:sz w:val="18"/>
                <w:szCs w:val="18"/>
              </w:rPr>
            </w:pPr>
            <w:r>
              <w:rPr>
                <w:rFonts w:cs="Arial"/>
                <w:sz w:val="18"/>
                <w:szCs w:val="18"/>
              </w:rPr>
              <w:t>…aus CVA</w:t>
            </w:r>
          </w:p>
        </w:tc>
        <w:tc>
          <w:tcPr>
            <w:tcW w:w="2253" w:type="dxa"/>
            <w:shd w:val="clear" w:color="auto" w:fill="auto"/>
            <w:vAlign w:val="center"/>
          </w:tcPr>
          <w:p>
            <w:pPr>
              <w:spacing w:before="20" w:after="20"/>
              <w:ind w:right="255"/>
              <w:jc w:val="right"/>
              <w:rPr>
                <w:rFonts w:cs="Arial"/>
                <w:sz w:val="18"/>
                <w:szCs w:val="18"/>
              </w:rPr>
            </w:pPr>
            <w:r>
              <w:rPr>
                <w:rFonts w:cs="Arial"/>
                <w:sz w:val="18"/>
                <w:szCs w:val="18"/>
              </w:rPr>
              <w:t>103</w:t>
            </w:r>
          </w:p>
        </w:tc>
      </w:tr>
      <w:tr>
        <w:trPr>
          <w:cantSplit/>
        </w:trPr>
        <w:tc>
          <w:tcPr>
            <w:tcW w:w="6790" w:type="dxa"/>
            <w:shd w:val="clear" w:color="auto" w:fill="auto"/>
            <w:vAlign w:val="center"/>
          </w:tcPr>
          <w:p>
            <w:pPr>
              <w:spacing w:before="20" w:after="20"/>
              <w:jc w:val="left"/>
              <w:rPr>
                <w:rFonts w:cs="Arial"/>
                <w:b/>
                <w:color w:val="000000"/>
                <w:sz w:val="20"/>
                <w:szCs w:val="20"/>
              </w:rPr>
            </w:pPr>
            <w:r>
              <w:rPr>
                <w:rFonts w:cs="Arial"/>
                <w:b/>
                <w:color w:val="000000"/>
                <w:sz w:val="18"/>
                <w:szCs w:val="18"/>
              </w:rPr>
              <w:t>Eigenmittelanforderungen</w:t>
            </w:r>
            <w:r>
              <w:rPr>
                <w:rFonts w:cs="Arial"/>
                <w:b/>
                <w:color w:val="000000"/>
                <w:sz w:val="20"/>
                <w:szCs w:val="20"/>
              </w:rPr>
              <w:t xml:space="preserve"> insgesamt</w:t>
            </w:r>
          </w:p>
        </w:tc>
        <w:tc>
          <w:tcPr>
            <w:tcW w:w="2253" w:type="dxa"/>
            <w:shd w:val="clear" w:color="auto" w:fill="auto"/>
            <w:vAlign w:val="center"/>
          </w:tcPr>
          <w:p>
            <w:pPr>
              <w:spacing w:before="20" w:after="20"/>
              <w:ind w:right="255"/>
              <w:jc w:val="right"/>
              <w:rPr>
                <w:rFonts w:cs="Arial"/>
                <w:b/>
                <w:sz w:val="18"/>
                <w:szCs w:val="18"/>
              </w:rPr>
            </w:pPr>
            <w:r>
              <w:rPr>
                <w:rFonts w:cs="Arial"/>
                <w:b/>
                <w:sz w:val="18"/>
                <w:szCs w:val="18"/>
              </w:rPr>
              <w:t>36.112</w:t>
            </w:r>
          </w:p>
        </w:tc>
      </w:tr>
    </w:tbl>
    <w:p>
      <w:pPr>
        <w:pStyle w:val="berschrift1"/>
        <w:spacing w:before="0" w:after="0"/>
        <w:rPr>
          <w:sz w:val="22"/>
          <w:szCs w:val="22"/>
        </w:rPr>
      </w:pPr>
      <w:bookmarkStart w:id="8" w:name="_Toc436146678"/>
    </w:p>
    <w:p>
      <w:pPr>
        <w:spacing w:before="0" w:after="0"/>
        <w:jc w:val="left"/>
        <w:rPr>
          <w:rFonts w:ascii="Arial Fett" w:hAnsi="Arial Fett" w:cs="Arial"/>
          <w:b/>
          <w:bCs/>
          <w:kern w:val="32"/>
          <w:szCs w:val="22"/>
        </w:rPr>
      </w:pPr>
      <w:r>
        <w:rPr>
          <w:szCs w:val="22"/>
        </w:rPr>
        <w:br w:type="page"/>
      </w:r>
    </w:p>
    <w:p>
      <w:pPr>
        <w:pStyle w:val="berschrift1"/>
      </w:pPr>
      <w:r>
        <w:lastRenderedPageBreak/>
        <w:t>Kreditrisikoanpassungen (Art. 442)</w:t>
      </w:r>
      <w:bookmarkEnd w:id="8"/>
    </w:p>
    <w:p>
      <w:pPr>
        <w:pStyle w:val="Randziffer"/>
      </w:pPr>
      <w:r>
        <w:t>Als „notleidend“ werden Risikopositionen/ Forderungen definiert, bei denen wir erwarten, dass ein Vertragspartner seinen Verpflichtungen, den Kapitaldienst zu leisten, nachhaltig nicht nachkommen kann. Für solche Forderungen werden von uns Einzelwertberichtigungen bzw. Einzelrückstellungen nach handelsrechtlichen Grundsätzen gebildet. Eine für Zwecke der Rechnungslegung abgegrenzte Definition von „überfällig“ verwenden wir nicht.</w:t>
      </w:r>
    </w:p>
    <w:p>
      <w:pPr>
        <w:pStyle w:val="Randziffer"/>
      </w:pPr>
      <w:r>
        <w:t>Gesamtbetrag der Risikopositionen (gem. Art. 112)</w:t>
      </w:r>
    </w:p>
    <w:tbl>
      <w:tblPr>
        <w:tblStyle w:val="Tabellenraster"/>
        <w:tblW w:w="8646" w:type="dxa"/>
        <w:tblInd w:w="534" w:type="dxa"/>
        <w:tblLayout w:type="fixed"/>
        <w:tblLook w:val="04A0" w:firstRow="1" w:lastRow="0" w:firstColumn="1" w:lastColumn="0" w:noHBand="0" w:noVBand="1"/>
      </w:tblPr>
      <w:tblGrid>
        <w:gridCol w:w="4423"/>
        <w:gridCol w:w="2097"/>
        <w:gridCol w:w="2126"/>
      </w:tblGrid>
      <w:tr>
        <w:tc>
          <w:tcPr>
            <w:tcW w:w="4423" w:type="dxa"/>
            <w:tcBorders>
              <w:bottom w:val="single" w:sz="4" w:space="0" w:color="auto"/>
            </w:tcBorders>
            <w:shd w:val="clear" w:color="auto" w:fill="00B0F0"/>
            <w:vAlign w:val="center"/>
          </w:tcPr>
          <w:p>
            <w:pPr>
              <w:autoSpaceDE w:val="0"/>
              <w:autoSpaceDN w:val="0"/>
              <w:adjustRightInd w:val="0"/>
              <w:spacing w:before="0" w:after="0"/>
              <w:jc w:val="left"/>
              <w:rPr>
                <w:b/>
                <w:color w:val="FFFFFF" w:themeColor="background1"/>
                <w:sz w:val="18"/>
                <w:szCs w:val="18"/>
              </w:rPr>
            </w:pPr>
            <w:r>
              <w:rPr>
                <w:rFonts w:cs="Arial"/>
                <w:b/>
                <w:color w:val="FFFFFF" w:themeColor="background1"/>
                <w:sz w:val="18"/>
                <w:szCs w:val="18"/>
              </w:rPr>
              <w:t>Risikopositionen</w:t>
            </w:r>
          </w:p>
        </w:tc>
        <w:tc>
          <w:tcPr>
            <w:tcW w:w="2097" w:type="dxa"/>
            <w:tcBorders>
              <w:bottom w:val="single" w:sz="4" w:space="0" w:color="auto"/>
            </w:tcBorders>
            <w:shd w:val="clear" w:color="auto" w:fill="00B0F0"/>
          </w:tcPr>
          <w:p>
            <w:pPr>
              <w:autoSpaceDE w:val="0"/>
              <w:autoSpaceDN w:val="0"/>
              <w:adjustRightInd w:val="0"/>
              <w:spacing w:before="0" w:after="0"/>
              <w:ind w:right="255"/>
              <w:jc w:val="right"/>
              <w:rPr>
                <w:rFonts w:cs="Arial"/>
                <w:b/>
                <w:color w:val="FFFFFF" w:themeColor="background1"/>
                <w:sz w:val="18"/>
                <w:szCs w:val="18"/>
              </w:rPr>
            </w:pPr>
            <w:r>
              <w:rPr>
                <w:rFonts w:cs="Arial"/>
                <w:b/>
                <w:color w:val="FFFFFF" w:themeColor="background1"/>
                <w:sz w:val="18"/>
                <w:szCs w:val="18"/>
              </w:rPr>
              <w:t xml:space="preserve">Gesamtwert </w:t>
            </w:r>
          </w:p>
          <w:p>
            <w:pPr>
              <w:autoSpaceDE w:val="0"/>
              <w:autoSpaceDN w:val="0"/>
              <w:adjustRightInd w:val="0"/>
              <w:spacing w:before="0" w:after="0"/>
              <w:ind w:right="255"/>
              <w:jc w:val="right"/>
              <w:rPr>
                <w:b/>
                <w:color w:val="FFFFFF" w:themeColor="background1"/>
                <w:sz w:val="18"/>
                <w:szCs w:val="18"/>
              </w:rPr>
            </w:pPr>
            <w:r>
              <w:rPr>
                <w:rFonts w:cs="Arial"/>
                <w:b/>
                <w:color w:val="FFFFFF" w:themeColor="background1"/>
                <w:sz w:val="18"/>
                <w:szCs w:val="18"/>
              </w:rPr>
              <w:t>TEUR</w:t>
            </w:r>
          </w:p>
        </w:tc>
        <w:tc>
          <w:tcPr>
            <w:tcW w:w="2126" w:type="dxa"/>
            <w:tcBorders>
              <w:bottom w:val="single" w:sz="4" w:space="0" w:color="auto"/>
            </w:tcBorders>
            <w:shd w:val="clear" w:color="auto" w:fill="00B0F0"/>
          </w:tcPr>
          <w:p>
            <w:pPr>
              <w:autoSpaceDE w:val="0"/>
              <w:autoSpaceDN w:val="0"/>
              <w:adjustRightInd w:val="0"/>
              <w:spacing w:before="0" w:after="0"/>
              <w:ind w:right="255"/>
              <w:jc w:val="right"/>
              <w:rPr>
                <w:b/>
                <w:color w:val="FFFFFF" w:themeColor="background1"/>
                <w:sz w:val="18"/>
                <w:szCs w:val="18"/>
              </w:rPr>
            </w:pPr>
            <w:r>
              <w:rPr>
                <w:rFonts w:cs="Arial"/>
                <w:b/>
                <w:color w:val="FFFFFF" w:themeColor="background1"/>
                <w:sz w:val="18"/>
                <w:szCs w:val="18"/>
              </w:rPr>
              <w:t>Durchschnittsbetrag TEUR</w:t>
            </w:r>
          </w:p>
        </w:tc>
      </w:tr>
      <w:tr>
        <w:tc>
          <w:tcPr>
            <w:tcW w:w="4423" w:type="dxa"/>
            <w:shd w:val="clear" w:color="auto" w:fill="auto"/>
            <w:vAlign w:val="bottom"/>
          </w:tcPr>
          <w:p>
            <w:pPr>
              <w:spacing w:before="20" w:after="20"/>
              <w:jc w:val="left"/>
              <w:rPr>
                <w:sz w:val="18"/>
                <w:szCs w:val="18"/>
              </w:rPr>
            </w:pPr>
            <w:r>
              <w:rPr>
                <w:rFonts w:cs="Arial"/>
                <w:sz w:val="18"/>
                <w:szCs w:val="18"/>
              </w:rPr>
              <w:t>Staaten oder Zentralbanken</w:t>
            </w:r>
          </w:p>
        </w:tc>
        <w:tc>
          <w:tcPr>
            <w:tcW w:w="2097" w:type="dxa"/>
            <w:shd w:val="clear" w:color="auto" w:fill="auto"/>
            <w:vAlign w:val="center"/>
          </w:tcPr>
          <w:p>
            <w:pPr>
              <w:spacing w:before="20" w:after="20"/>
              <w:ind w:right="255"/>
              <w:jc w:val="right"/>
              <w:rPr>
                <w:sz w:val="18"/>
                <w:szCs w:val="18"/>
              </w:rPr>
            </w:pPr>
            <w:r>
              <w:rPr>
                <w:sz w:val="18"/>
                <w:szCs w:val="18"/>
              </w:rPr>
              <w:t>60.923</w:t>
            </w:r>
          </w:p>
        </w:tc>
        <w:tc>
          <w:tcPr>
            <w:tcW w:w="2126" w:type="dxa"/>
            <w:shd w:val="clear" w:color="auto" w:fill="auto"/>
            <w:vAlign w:val="center"/>
          </w:tcPr>
          <w:p>
            <w:pPr>
              <w:spacing w:before="20" w:after="20"/>
              <w:ind w:right="255"/>
              <w:jc w:val="right"/>
              <w:rPr>
                <w:sz w:val="18"/>
                <w:szCs w:val="18"/>
              </w:rPr>
            </w:pPr>
            <w:r>
              <w:rPr>
                <w:sz w:val="18"/>
                <w:szCs w:val="18"/>
              </w:rPr>
              <w:t>39.686</w:t>
            </w:r>
          </w:p>
        </w:tc>
      </w:tr>
      <w:tr>
        <w:tc>
          <w:tcPr>
            <w:tcW w:w="4423" w:type="dxa"/>
            <w:shd w:val="clear" w:color="auto" w:fill="auto"/>
            <w:vAlign w:val="bottom"/>
          </w:tcPr>
          <w:p>
            <w:pPr>
              <w:spacing w:before="20" w:after="20"/>
              <w:jc w:val="left"/>
              <w:rPr>
                <w:sz w:val="18"/>
                <w:szCs w:val="18"/>
              </w:rPr>
            </w:pPr>
            <w:r>
              <w:rPr>
                <w:rFonts w:cs="Arial"/>
                <w:sz w:val="18"/>
                <w:szCs w:val="18"/>
              </w:rPr>
              <w:t>Regionale oder lokale Gebietskörperschaften</w:t>
            </w:r>
          </w:p>
        </w:tc>
        <w:tc>
          <w:tcPr>
            <w:tcW w:w="2097" w:type="dxa"/>
            <w:shd w:val="clear" w:color="auto" w:fill="auto"/>
            <w:vAlign w:val="center"/>
          </w:tcPr>
          <w:p>
            <w:pPr>
              <w:spacing w:before="20" w:after="20"/>
              <w:ind w:right="255"/>
              <w:jc w:val="right"/>
              <w:rPr>
                <w:sz w:val="18"/>
                <w:szCs w:val="18"/>
              </w:rPr>
            </w:pPr>
            <w:r>
              <w:rPr>
                <w:sz w:val="18"/>
                <w:szCs w:val="18"/>
              </w:rPr>
              <w:t>6.164</w:t>
            </w:r>
          </w:p>
        </w:tc>
        <w:tc>
          <w:tcPr>
            <w:tcW w:w="2126" w:type="dxa"/>
            <w:shd w:val="clear" w:color="auto" w:fill="auto"/>
            <w:vAlign w:val="center"/>
          </w:tcPr>
          <w:p>
            <w:pPr>
              <w:spacing w:before="20" w:after="20"/>
              <w:ind w:right="255"/>
              <w:jc w:val="right"/>
              <w:rPr>
                <w:sz w:val="18"/>
                <w:szCs w:val="18"/>
              </w:rPr>
            </w:pPr>
            <w:r>
              <w:rPr>
                <w:sz w:val="18"/>
                <w:szCs w:val="18"/>
              </w:rPr>
              <w:t>6.372</w:t>
            </w:r>
          </w:p>
        </w:tc>
      </w:tr>
      <w:tr>
        <w:tc>
          <w:tcPr>
            <w:tcW w:w="4423" w:type="dxa"/>
            <w:shd w:val="clear" w:color="auto" w:fill="auto"/>
          </w:tcPr>
          <w:p>
            <w:pPr>
              <w:spacing w:before="20" w:after="20"/>
              <w:jc w:val="left"/>
              <w:rPr>
                <w:sz w:val="18"/>
                <w:szCs w:val="18"/>
              </w:rPr>
            </w:pPr>
            <w:r>
              <w:rPr>
                <w:rFonts w:cs="Arial"/>
                <w:sz w:val="18"/>
                <w:szCs w:val="18"/>
              </w:rPr>
              <w:t>Öffentliche Stellen</w:t>
            </w:r>
          </w:p>
        </w:tc>
        <w:tc>
          <w:tcPr>
            <w:tcW w:w="2097" w:type="dxa"/>
            <w:shd w:val="clear" w:color="auto" w:fill="auto"/>
            <w:vAlign w:val="center"/>
          </w:tcPr>
          <w:p>
            <w:pPr>
              <w:spacing w:before="20" w:after="20"/>
              <w:ind w:right="255"/>
              <w:jc w:val="right"/>
              <w:rPr>
                <w:sz w:val="18"/>
                <w:szCs w:val="18"/>
              </w:rPr>
            </w:pPr>
            <w:r>
              <w:rPr>
                <w:sz w:val="18"/>
                <w:szCs w:val="18"/>
              </w:rPr>
              <w:t>4.472</w:t>
            </w:r>
          </w:p>
        </w:tc>
        <w:tc>
          <w:tcPr>
            <w:tcW w:w="2126" w:type="dxa"/>
            <w:shd w:val="clear" w:color="auto" w:fill="auto"/>
            <w:vAlign w:val="center"/>
          </w:tcPr>
          <w:p>
            <w:pPr>
              <w:spacing w:before="20" w:after="20"/>
              <w:ind w:right="255"/>
              <w:jc w:val="right"/>
              <w:rPr>
                <w:sz w:val="18"/>
                <w:szCs w:val="18"/>
              </w:rPr>
            </w:pPr>
            <w:r>
              <w:rPr>
                <w:sz w:val="18"/>
                <w:szCs w:val="18"/>
              </w:rPr>
              <w:t>3.990</w:t>
            </w:r>
          </w:p>
        </w:tc>
      </w:tr>
      <w:tr>
        <w:tc>
          <w:tcPr>
            <w:tcW w:w="4423" w:type="dxa"/>
            <w:shd w:val="clear" w:color="auto" w:fill="auto"/>
          </w:tcPr>
          <w:p>
            <w:pPr>
              <w:spacing w:before="20" w:after="20"/>
              <w:jc w:val="left"/>
              <w:rPr>
                <w:rFonts w:cs="Arial"/>
                <w:sz w:val="18"/>
                <w:szCs w:val="18"/>
              </w:rPr>
            </w:pPr>
            <w:r>
              <w:rPr>
                <w:rFonts w:cs="Arial"/>
                <w:sz w:val="18"/>
                <w:szCs w:val="18"/>
              </w:rPr>
              <w:t>Multilaterale Entwicklungsbanken</w:t>
            </w:r>
          </w:p>
        </w:tc>
        <w:tc>
          <w:tcPr>
            <w:tcW w:w="2097" w:type="dxa"/>
            <w:shd w:val="clear" w:color="auto" w:fill="auto"/>
            <w:vAlign w:val="center"/>
          </w:tcPr>
          <w:p>
            <w:pPr>
              <w:spacing w:before="20" w:after="20"/>
              <w:ind w:right="255"/>
              <w:jc w:val="right"/>
              <w:rPr>
                <w:sz w:val="18"/>
                <w:szCs w:val="18"/>
              </w:rPr>
            </w:pPr>
            <w:r>
              <w:rPr>
                <w:sz w:val="18"/>
                <w:szCs w:val="18"/>
              </w:rPr>
              <w:t>0</w:t>
            </w:r>
          </w:p>
        </w:tc>
        <w:tc>
          <w:tcPr>
            <w:tcW w:w="2126" w:type="dxa"/>
            <w:shd w:val="clear" w:color="auto" w:fill="auto"/>
            <w:vAlign w:val="center"/>
          </w:tcPr>
          <w:p>
            <w:pPr>
              <w:spacing w:before="20" w:after="20"/>
              <w:ind w:right="255"/>
              <w:jc w:val="right"/>
              <w:rPr>
                <w:sz w:val="18"/>
                <w:szCs w:val="18"/>
              </w:rPr>
            </w:pPr>
            <w:r>
              <w:rPr>
                <w:sz w:val="18"/>
                <w:szCs w:val="18"/>
              </w:rPr>
              <w:t>0</w:t>
            </w:r>
          </w:p>
        </w:tc>
      </w:tr>
      <w:tr>
        <w:tc>
          <w:tcPr>
            <w:tcW w:w="4423" w:type="dxa"/>
            <w:shd w:val="clear" w:color="auto" w:fill="auto"/>
          </w:tcPr>
          <w:p>
            <w:pPr>
              <w:spacing w:before="20" w:after="20"/>
              <w:jc w:val="left"/>
              <w:rPr>
                <w:sz w:val="18"/>
                <w:szCs w:val="18"/>
              </w:rPr>
            </w:pPr>
            <w:r>
              <w:rPr>
                <w:rFonts w:cs="Arial"/>
                <w:sz w:val="18"/>
                <w:szCs w:val="18"/>
              </w:rPr>
              <w:t>Internationale Organisationen</w:t>
            </w:r>
          </w:p>
        </w:tc>
        <w:tc>
          <w:tcPr>
            <w:tcW w:w="2097" w:type="dxa"/>
            <w:shd w:val="clear" w:color="auto" w:fill="auto"/>
            <w:vAlign w:val="center"/>
          </w:tcPr>
          <w:p>
            <w:pPr>
              <w:spacing w:before="20" w:after="20"/>
              <w:ind w:right="255"/>
              <w:jc w:val="right"/>
              <w:rPr>
                <w:sz w:val="18"/>
                <w:szCs w:val="18"/>
              </w:rPr>
            </w:pPr>
            <w:r>
              <w:rPr>
                <w:sz w:val="18"/>
                <w:szCs w:val="18"/>
              </w:rPr>
              <w:t>0</w:t>
            </w:r>
          </w:p>
        </w:tc>
        <w:tc>
          <w:tcPr>
            <w:tcW w:w="2126" w:type="dxa"/>
            <w:shd w:val="clear" w:color="auto" w:fill="auto"/>
            <w:vAlign w:val="center"/>
          </w:tcPr>
          <w:p>
            <w:pPr>
              <w:spacing w:before="20" w:after="20"/>
              <w:ind w:right="255"/>
              <w:jc w:val="right"/>
              <w:rPr>
                <w:sz w:val="18"/>
                <w:szCs w:val="18"/>
              </w:rPr>
            </w:pPr>
            <w:r>
              <w:rPr>
                <w:sz w:val="18"/>
                <w:szCs w:val="18"/>
              </w:rPr>
              <w:t>0</w:t>
            </w:r>
          </w:p>
        </w:tc>
      </w:tr>
      <w:tr>
        <w:tc>
          <w:tcPr>
            <w:tcW w:w="4423" w:type="dxa"/>
            <w:shd w:val="clear" w:color="auto" w:fill="auto"/>
          </w:tcPr>
          <w:p>
            <w:pPr>
              <w:spacing w:before="20" w:after="20"/>
              <w:jc w:val="left"/>
              <w:rPr>
                <w:sz w:val="18"/>
                <w:szCs w:val="18"/>
              </w:rPr>
            </w:pPr>
            <w:r>
              <w:rPr>
                <w:rFonts w:cs="Arial"/>
                <w:sz w:val="18"/>
                <w:szCs w:val="18"/>
              </w:rPr>
              <w:t>Institute</w:t>
            </w:r>
          </w:p>
        </w:tc>
        <w:tc>
          <w:tcPr>
            <w:tcW w:w="2097" w:type="dxa"/>
            <w:shd w:val="clear" w:color="auto" w:fill="auto"/>
            <w:vAlign w:val="center"/>
          </w:tcPr>
          <w:p>
            <w:pPr>
              <w:spacing w:before="20" w:after="20"/>
              <w:ind w:right="255"/>
              <w:jc w:val="right"/>
              <w:rPr>
                <w:sz w:val="18"/>
                <w:szCs w:val="18"/>
              </w:rPr>
            </w:pPr>
            <w:r>
              <w:rPr>
                <w:sz w:val="18"/>
                <w:szCs w:val="18"/>
              </w:rPr>
              <w:t>20.226</w:t>
            </w:r>
          </w:p>
        </w:tc>
        <w:tc>
          <w:tcPr>
            <w:tcW w:w="2126" w:type="dxa"/>
            <w:shd w:val="clear" w:color="auto" w:fill="auto"/>
            <w:vAlign w:val="center"/>
          </w:tcPr>
          <w:p>
            <w:pPr>
              <w:spacing w:before="20" w:after="20"/>
              <w:ind w:right="255"/>
              <w:jc w:val="right"/>
              <w:rPr>
                <w:sz w:val="18"/>
                <w:szCs w:val="18"/>
              </w:rPr>
            </w:pPr>
            <w:r>
              <w:rPr>
                <w:sz w:val="18"/>
                <w:szCs w:val="18"/>
              </w:rPr>
              <w:t>25.370</w:t>
            </w:r>
          </w:p>
        </w:tc>
      </w:tr>
      <w:tr>
        <w:tc>
          <w:tcPr>
            <w:tcW w:w="4423" w:type="dxa"/>
            <w:shd w:val="clear" w:color="auto" w:fill="auto"/>
          </w:tcPr>
          <w:p>
            <w:pPr>
              <w:spacing w:before="20" w:after="20"/>
              <w:jc w:val="left"/>
              <w:rPr>
                <w:sz w:val="18"/>
                <w:szCs w:val="18"/>
              </w:rPr>
            </w:pPr>
            <w:r>
              <w:rPr>
                <w:rFonts w:cs="Arial"/>
                <w:sz w:val="18"/>
                <w:szCs w:val="18"/>
              </w:rPr>
              <w:t>Unternehmen</w:t>
            </w:r>
          </w:p>
        </w:tc>
        <w:tc>
          <w:tcPr>
            <w:tcW w:w="2097" w:type="dxa"/>
            <w:shd w:val="clear" w:color="auto" w:fill="auto"/>
            <w:vAlign w:val="center"/>
          </w:tcPr>
          <w:p>
            <w:pPr>
              <w:spacing w:before="20" w:after="20"/>
              <w:ind w:right="255"/>
              <w:jc w:val="right"/>
              <w:rPr>
                <w:sz w:val="18"/>
                <w:szCs w:val="18"/>
              </w:rPr>
            </w:pPr>
            <w:r>
              <w:rPr>
                <w:sz w:val="18"/>
                <w:szCs w:val="18"/>
              </w:rPr>
              <w:t>262.948</w:t>
            </w:r>
          </w:p>
        </w:tc>
        <w:tc>
          <w:tcPr>
            <w:tcW w:w="2126" w:type="dxa"/>
            <w:shd w:val="clear" w:color="auto" w:fill="auto"/>
            <w:vAlign w:val="center"/>
          </w:tcPr>
          <w:p>
            <w:pPr>
              <w:spacing w:before="20" w:after="20"/>
              <w:ind w:right="255"/>
              <w:jc w:val="right"/>
              <w:rPr>
                <w:sz w:val="18"/>
                <w:szCs w:val="18"/>
              </w:rPr>
            </w:pPr>
            <w:r>
              <w:rPr>
                <w:sz w:val="18"/>
                <w:szCs w:val="18"/>
              </w:rPr>
              <w:t>264.904</w:t>
            </w:r>
          </w:p>
        </w:tc>
      </w:tr>
      <w:tr>
        <w:tc>
          <w:tcPr>
            <w:tcW w:w="4423" w:type="dxa"/>
            <w:shd w:val="clear" w:color="auto" w:fill="auto"/>
          </w:tcPr>
          <w:p>
            <w:pPr>
              <w:spacing w:before="20" w:after="20"/>
              <w:jc w:val="left"/>
              <w:rPr>
                <w:rFonts w:cs="Arial"/>
                <w:sz w:val="18"/>
                <w:szCs w:val="18"/>
              </w:rPr>
            </w:pPr>
            <w:r>
              <w:rPr>
                <w:rFonts w:cs="Arial"/>
                <w:sz w:val="18"/>
                <w:szCs w:val="18"/>
              </w:rPr>
              <w:t xml:space="preserve">   davon: KMU</w:t>
            </w:r>
          </w:p>
        </w:tc>
        <w:tc>
          <w:tcPr>
            <w:tcW w:w="2097" w:type="dxa"/>
            <w:shd w:val="clear" w:color="auto" w:fill="auto"/>
            <w:vAlign w:val="center"/>
          </w:tcPr>
          <w:p>
            <w:pPr>
              <w:spacing w:before="20" w:after="20"/>
              <w:ind w:right="255"/>
              <w:jc w:val="right"/>
              <w:rPr>
                <w:sz w:val="18"/>
                <w:szCs w:val="18"/>
              </w:rPr>
            </w:pPr>
            <w:r>
              <w:rPr>
                <w:sz w:val="18"/>
                <w:szCs w:val="18"/>
              </w:rPr>
              <w:t>165.618</w:t>
            </w:r>
          </w:p>
        </w:tc>
        <w:tc>
          <w:tcPr>
            <w:tcW w:w="2126" w:type="dxa"/>
            <w:shd w:val="clear" w:color="auto" w:fill="auto"/>
            <w:vAlign w:val="center"/>
          </w:tcPr>
          <w:p>
            <w:pPr>
              <w:spacing w:before="20" w:after="20"/>
              <w:ind w:right="255"/>
              <w:jc w:val="right"/>
              <w:rPr>
                <w:sz w:val="18"/>
                <w:szCs w:val="18"/>
              </w:rPr>
            </w:pPr>
            <w:r>
              <w:rPr>
                <w:sz w:val="18"/>
                <w:szCs w:val="18"/>
              </w:rPr>
              <w:t>171.938</w:t>
            </w:r>
          </w:p>
        </w:tc>
      </w:tr>
      <w:tr>
        <w:tc>
          <w:tcPr>
            <w:tcW w:w="4423" w:type="dxa"/>
            <w:shd w:val="clear" w:color="auto" w:fill="auto"/>
          </w:tcPr>
          <w:p>
            <w:pPr>
              <w:spacing w:before="20" w:after="20"/>
              <w:jc w:val="left"/>
              <w:rPr>
                <w:rFonts w:cs="Arial"/>
                <w:sz w:val="18"/>
                <w:szCs w:val="18"/>
              </w:rPr>
            </w:pPr>
            <w:r>
              <w:rPr>
                <w:rFonts w:cs="Arial"/>
                <w:sz w:val="18"/>
                <w:szCs w:val="18"/>
              </w:rPr>
              <w:t>Mengengeschäft</w:t>
            </w:r>
          </w:p>
        </w:tc>
        <w:tc>
          <w:tcPr>
            <w:tcW w:w="2097" w:type="dxa"/>
            <w:shd w:val="clear" w:color="auto" w:fill="auto"/>
            <w:vAlign w:val="center"/>
          </w:tcPr>
          <w:p>
            <w:pPr>
              <w:spacing w:before="20" w:after="20"/>
              <w:ind w:right="255"/>
              <w:jc w:val="right"/>
              <w:rPr>
                <w:rFonts w:cs="Arial"/>
                <w:sz w:val="18"/>
                <w:szCs w:val="18"/>
              </w:rPr>
            </w:pPr>
            <w:r>
              <w:rPr>
                <w:rFonts w:cs="Arial"/>
                <w:sz w:val="18"/>
                <w:szCs w:val="18"/>
              </w:rPr>
              <w:t>156.933</w:t>
            </w:r>
          </w:p>
        </w:tc>
        <w:tc>
          <w:tcPr>
            <w:tcW w:w="2126" w:type="dxa"/>
            <w:shd w:val="clear" w:color="auto" w:fill="auto"/>
            <w:vAlign w:val="center"/>
          </w:tcPr>
          <w:p>
            <w:pPr>
              <w:spacing w:before="20" w:after="20"/>
              <w:ind w:right="255"/>
              <w:jc w:val="right"/>
              <w:rPr>
                <w:rFonts w:cs="Arial"/>
                <w:sz w:val="18"/>
                <w:szCs w:val="18"/>
              </w:rPr>
            </w:pPr>
            <w:r>
              <w:rPr>
                <w:rFonts w:cs="Arial"/>
                <w:sz w:val="18"/>
                <w:szCs w:val="18"/>
              </w:rPr>
              <w:t>155.161</w:t>
            </w:r>
          </w:p>
        </w:tc>
      </w:tr>
      <w:tr>
        <w:tc>
          <w:tcPr>
            <w:tcW w:w="4423" w:type="dxa"/>
            <w:shd w:val="clear" w:color="auto" w:fill="auto"/>
          </w:tcPr>
          <w:p>
            <w:pPr>
              <w:spacing w:before="20" w:after="20"/>
              <w:jc w:val="left"/>
              <w:rPr>
                <w:rFonts w:cs="Arial"/>
                <w:sz w:val="18"/>
                <w:szCs w:val="18"/>
              </w:rPr>
            </w:pPr>
            <w:r>
              <w:rPr>
                <w:rFonts w:cs="Arial"/>
                <w:sz w:val="18"/>
                <w:szCs w:val="18"/>
              </w:rPr>
              <w:t xml:space="preserve">   davon: KMU</w:t>
            </w:r>
          </w:p>
        </w:tc>
        <w:tc>
          <w:tcPr>
            <w:tcW w:w="2097" w:type="dxa"/>
            <w:shd w:val="clear" w:color="auto" w:fill="auto"/>
            <w:vAlign w:val="center"/>
          </w:tcPr>
          <w:p>
            <w:pPr>
              <w:spacing w:before="20" w:after="20"/>
              <w:ind w:right="255"/>
              <w:jc w:val="right"/>
              <w:rPr>
                <w:rFonts w:cs="Arial"/>
                <w:sz w:val="18"/>
                <w:szCs w:val="18"/>
              </w:rPr>
            </w:pPr>
            <w:r>
              <w:rPr>
                <w:rFonts w:cs="Arial"/>
                <w:sz w:val="18"/>
                <w:szCs w:val="18"/>
              </w:rPr>
              <w:t>38.237</w:t>
            </w:r>
          </w:p>
        </w:tc>
        <w:tc>
          <w:tcPr>
            <w:tcW w:w="2126" w:type="dxa"/>
            <w:shd w:val="clear" w:color="auto" w:fill="auto"/>
            <w:vAlign w:val="center"/>
          </w:tcPr>
          <w:p>
            <w:pPr>
              <w:spacing w:before="20" w:after="20"/>
              <w:ind w:right="255"/>
              <w:jc w:val="right"/>
              <w:rPr>
                <w:rFonts w:cs="Arial"/>
                <w:sz w:val="18"/>
                <w:szCs w:val="18"/>
              </w:rPr>
            </w:pPr>
            <w:r>
              <w:rPr>
                <w:rFonts w:cs="Arial"/>
                <w:sz w:val="18"/>
                <w:szCs w:val="18"/>
              </w:rPr>
              <w:t>40.391</w:t>
            </w:r>
          </w:p>
        </w:tc>
      </w:tr>
      <w:tr>
        <w:tc>
          <w:tcPr>
            <w:tcW w:w="4423" w:type="dxa"/>
            <w:shd w:val="clear" w:color="auto" w:fill="auto"/>
          </w:tcPr>
          <w:p>
            <w:pPr>
              <w:spacing w:before="20" w:after="20"/>
              <w:jc w:val="left"/>
              <w:rPr>
                <w:rFonts w:cs="Arial"/>
                <w:sz w:val="18"/>
                <w:szCs w:val="18"/>
              </w:rPr>
            </w:pPr>
            <w:r>
              <w:rPr>
                <w:rFonts w:cs="Arial"/>
                <w:sz w:val="18"/>
                <w:szCs w:val="18"/>
              </w:rPr>
              <w:t>Durch Immobilien besichert</w:t>
            </w:r>
          </w:p>
        </w:tc>
        <w:tc>
          <w:tcPr>
            <w:tcW w:w="2097" w:type="dxa"/>
            <w:shd w:val="clear" w:color="auto" w:fill="auto"/>
            <w:vAlign w:val="center"/>
          </w:tcPr>
          <w:p>
            <w:pPr>
              <w:spacing w:before="20" w:after="20"/>
              <w:ind w:right="255"/>
              <w:jc w:val="right"/>
              <w:rPr>
                <w:rFonts w:cs="Arial"/>
                <w:sz w:val="18"/>
                <w:szCs w:val="18"/>
              </w:rPr>
            </w:pPr>
            <w:r>
              <w:rPr>
                <w:rFonts w:cs="Arial"/>
                <w:sz w:val="18"/>
                <w:szCs w:val="18"/>
              </w:rPr>
              <w:t>255.728</w:t>
            </w:r>
          </w:p>
        </w:tc>
        <w:tc>
          <w:tcPr>
            <w:tcW w:w="2126" w:type="dxa"/>
            <w:shd w:val="clear" w:color="auto" w:fill="auto"/>
            <w:vAlign w:val="center"/>
          </w:tcPr>
          <w:p>
            <w:pPr>
              <w:spacing w:before="20" w:after="20"/>
              <w:ind w:right="255"/>
              <w:jc w:val="right"/>
              <w:rPr>
                <w:rFonts w:cs="Arial"/>
                <w:sz w:val="18"/>
                <w:szCs w:val="18"/>
              </w:rPr>
            </w:pPr>
            <w:r>
              <w:rPr>
                <w:rFonts w:cs="Arial"/>
                <w:sz w:val="18"/>
                <w:szCs w:val="18"/>
              </w:rPr>
              <w:t>252.593</w:t>
            </w:r>
          </w:p>
        </w:tc>
      </w:tr>
      <w:tr>
        <w:tc>
          <w:tcPr>
            <w:tcW w:w="4423" w:type="dxa"/>
            <w:shd w:val="clear" w:color="auto" w:fill="auto"/>
          </w:tcPr>
          <w:p>
            <w:pPr>
              <w:spacing w:before="20" w:after="20"/>
              <w:jc w:val="left"/>
              <w:rPr>
                <w:rFonts w:cs="Arial"/>
                <w:sz w:val="18"/>
                <w:szCs w:val="18"/>
              </w:rPr>
            </w:pPr>
            <w:r>
              <w:rPr>
                <w:rFonts w:cs="Arial"/>
                <w:sz w:val="18"/>
                <w:szCs w:val="18"/>
              </w:rPr>
              <w:t xml:space="preserve">   davon: KMU</w:t>
            </w:r>
          </w:p>
        </w:tc>
        <w:tc>
          <w:tcPr>
            <w:tcW w:w="2097" w:type="dxa"/>
            <w:shd w:val="clear" w:color="auto" w:fill="auto"/>
            <w:vAlign w:val="center"/>
          </w:tcPr>
          <w:p>
            <w:pPr>
              <w:spacing w:before="20" w:after="20"/>
              <w:ind w:right="255"/>
              <w:jc w:val="right"/>
              <w:rPr>
                <w:rFonts w:cs="Arial"/>
                <w:sz w:val="18"/>
                <w:szCs w:val="18"/>
              </w:rPr>
            </w:pPr>
            <w:r>
              <w:rPr>
                <w:rFonts w:cs="Arial"/>
                <w:sz w:val="18"/>
                <w:szCs w:val="18"/>
              </w:rPr>
              <w:t>154.686</w:t>
            </w:r>
          </w:p>
        </w:tc>
        <w:tc>
          <w:tcPr>
            <w:tcW w:w="2126" w:type="dxa"/>
            <w:shd w:val="clear" w:color="auto" w:fill="auto"/>
            <w:vAlign w:val="center"/>
          </w:tcPr>
          <w:p>
            <w:pPr>
              <w:spacing w:before="20" w:after="20"/>
              <w:ind w:right="255"/>
              <w:jc w:val="right"/>
              <w:rPr>
                <w:rFonts w:cs="Arial"/>
                <w:sz w:val="18"/>
                <w:szCs w:val="18"/>
              </w:rPr>
            </w:pPr>
            <w:r>
              <w:rPr>
                <w:rFonts w:cs="Arial"/>
                <w:sz w:val="18"/>
                <w:szCs w:val="18"/>
              </w:rPr>
              <w:t>153.007</w:t>
            </w:r>
          </w:p>
        </w:tc>
      </w:tr>
      <w:tr>
        <w:tc>
          <w:tcPr>
            <w:tcW w:w="4423" w:type="dxa"/>
            <w:shd w:val="clear" w:color="auto" w:fill="auto"/>
          </w:tcPr>
          <w:p>
            <w:pPr>
              <w:spacing w:before="20" w:after="20"/>
              <w:jc w:val="left"/>
              <w:rPr>
                <w:rFonts w:cs="Arial"/>
                <w:sz w:val="18"/>
                <w:szCs w:val="18"/>
              </w:rPr>
            </w:pPr>
            <w:r>
              <w:rPr>
                <w:rFonts w:cs="Arial"/>
                <w:sz w:val="18"/>
                <w:szCs w:val="18"/>
              </w:rPr>
              <w:t>Ausgefallene Positionen</w:t>
            </w:r>
          </w:p>
        </w:tc>
        <w:tc>
          <w:tcPr>
            <w:tcW w:w="2097" w:type="dxa"/>
            <w:shd w:val="clear" w:color="auto" w:fill="auto"/>
            <w:vAlign w:val="center"/>
          </w:tcPr>
          <w:p>
            <w:pPr>
              <w:spacing w:before="20" w:after="20"/>
              <w:ind w:right="255"/>
              <w:jc w:val="right"/>
              <w:rPr>
                <w:rFonts w:cs="Arial"/>
                <w:sz w:val="18"/>
                <w:szCs w:val="18"/>
              </w:rPr>
            </w:pPr>
            <w:r>
              <w:rPr>
                <w:rFonts w:cs="Arial"/>
                <w:sz w:val="18"/>
                <w:szCs w:val="18"/>
              </w:rPr>
              <w:t>1.682</w:t>
            </w:r>
          </w:p>
        </w:tc>
        <w:tc>
          <w:tcPr>
            <w:tcW w:w="2126" w:type="dxa"/>
            <w:shd w:val="clear" w:color="auto" w:fill="auto"/>
            <w:vAlign w:val="center"/>
          </w:tcPr>
          <w:p>
            <w:pPr>
              <w:spacing w:before="20" w:after="20"/>
              <w:ind w:right="255"/>
              <w:jc w:val="right"/>
              <w:rPr>
                <w:rFonts w:cs="Arial"/>
                <w:sz w:val="18"/>
                <w:szCs w:val="18"/>
              </w:rPr>
            </w:pPr>
            <w:r>
              <w:rPr>
                <w:rFonts w:cs="Arial"/>
                <w:sz w:val="18"/>
                <w:szCs w:val="18"/>
              </w:rPr>
              <w:t>1.556</w:t>
            </w:r>
          </w:p>
        </w:tc>
      </w:tr>
      <w:tr>
        <w:tc>
          <w:tcPr>
            <w:tcW w:w="4423" w:type="dxa"/>
            <w:shd w:val="clear" w:color="auto" w:fill="auto"/>
          </w:tcPr>
          <w:p>
            <w:pPr>
              <w:spacing w:before="20" w:after="20"/>
              <w:jc w:val="left"/>
              <w:rPr>
                <w:rFonts w:cs="Arial"/>
                <w:sz w:val="18"/>
                <w:szCs w:val="18"/>
              </w:rPr>
            </w:pPr>
            <w:r>
              <w:rPr>
                <w:rFonts w:cs="Arial"/>
                <w:sz w:val="18"/>
                <w:szCs w:val="18"/>
              </w:rPr>
              <w:t>Mit besonders hohem Risiko verbundene Positionen</w:t>
            </w:r>
          </w:p>
        </w:tc>
        <w:tc>
          <w:tcPr>
            <w:tcW w:w="2097" w:type="dxa"/>
            <w:shd w:val="clear" w:color="auto" w:fill="auto"/>
            <w:vAlign w:val="center"/>
          </w:tcPr>
          <w:p>
            <w:pPr>
              <w:spacing w:before="20" w:after="20"/>
              <w:ind w:right="255"/>
              <w:jc w:val="right"/>
              <w:rPr>
                <w:rFonts w:cs="Arial"/>
                <w:sz w:val="18"/>
                <w:szCs w:val="18"/>
              </w:rPr>
            </w:pPr>
            <w:r>
              <w:rPr>
                <w:rFonts w:cs="Arial"/>
                <w:sz w:val="18"/>
                <w:szCs w:val="18"/>
              </w:rPr>
              <w:t>0</w:t>
            </w:r>
          </w:p>
        </w:tc>
        <w:tc>
          <w:tcPr>
            <w:tcW w:w="2126" w:type="dxa"/>
            <w:shd w:val="clear" w:color="auto" w:fill="auto"/>
            <w:vAlign w:val="center"/>
          </w:tcPr>
          <w:p>
            <w:pPr>
              <w:spacing w:before="20" w:after="20"/>
              <w:ind w:right="255"/>
              <w:jc w:val="right"/>
              <w:rPr>
                <w:rFonts w:cs="Arial"/>
                <w:sz w:val="18"/>
                <w:szCs w:val="18"/>
              </w:rPr>
            </w:pPr>
            <w:r>
              <w:rPr>
                <w:rFonts w:cs="Arial"/>
                <w:sz w:val="18"/>
                <w:szCs w:val="18"/>
              </w:rPr>
              <w:t>0</w:t>
            </w:r>
          </w:p>
        </w:tc>
      </w:tr>
      <w:tr>
        <w:tc>
          <w:tcPr>
            <w:tcW w:w="4423" w:type="dxa"/>
            <w:shd w:val="clear" w:color="auto" w:fill="auto"/>
          </w:tcPr>
          <w:p>
            <w:pPr>
              <w:spacing w:before="20" w:after="20"/>
              <w:jc w:val="left"/>
              <w:rPr>
                <w:rFonts w:cs="Arial"/>
                <w:sz w:val="18"/>
                <w:szCs w:val="18"/>
              </w:rPr>
            </w:pPr>
            <w:r>
              <w:rPr>
                <w:rFonts w:cs="Arial"/>
                <w:sz w:val="18"/>
                <w:szCs w:val="18"/>
              </w:rPr>
              <w:t>Gedeckte Schuldverschreibungen</w:t>
            </w:r>
          </w:p>
        </w:tc>
        <w:tc>
          <w:tcPr>
            <w:tcW w:w="2097" w:type="dxa"/>
            <w:shd w:val="clear" w:color="auto" w:fill="auto"/>
            <w:vAlign w:val="center"/>
          </w:tcPr>
          <w:p>
            <w:pPr>
              <w:spacing w:before="20" w:after="20"/>
              <w:ind w:right="255"/>
              <w:jc w:val="right"/>
              <w:rPr>
                <w:rFonts w:cs="Arial"/>
                <w:sz w:val="18"/>
                <w:szCs w:val="18"/>
              </w:rPr>
            </w:pPr>
            <w:r>
              <w:rPr>
                <w:rFonts w:cs="Arial"/>
                <w:sz w:val="18"/>
                <w:szCs w:val="18"/>
              </w:rPr>
              <w:t>9.257</w:t>
            </w:r>
          </w:p>
        </w:tc>
        <w:tc>
          <w:tcPr>
            <w:tcW w:w="2126" w:type="dxa"/>
            <w:shd w:val="clear" w:color="auto" w:fill="auto"/>
            <w:vAlign w:val="center"/>
          </w:tcPr>
          <w:p>
            <w:pPr>
              <w:spacing w:before="20" w:after="20"/>
              <w:ind w:right="255"/>
              <w:jc w:val="right"/>
              <w:rPr>
                <w:rFonts w:cs="Arial"/>
                <w:sz w:val="18"/>
                <w:szCs w:val="18"/>
              </w:rPr>
            </w:pPr>
            <w:r>
              <w:rPr>
                <w:rFonts w:cs="Arial"/>
                <w:sz w:val="18"/>
                <w:szCs w:val="18"/>
              </w:rPr>
              <w:t>9.257</w:t>
            </w:r>
          </w:p>
        </w:tc>
      </w:tr>
      <w:tr>
        <w:tc>
          <w:tcPr>
            <w:tcW w:w="4423" w:type="dxa"/>
            <w:shd w:val="clear" w:color="auto" w:fill="auto"/>
          </w:tcPr>
          <w:p>
            <w:pPr>
              <w:spacing w:before="20" w:after="20"/>
              <w:jc w:val="left"/>
              <w:rPr>
                <w:rFonts w:cs="Arial"/>
                <w:sz w:val="18"/>
                <w:szCs w:val="18"/>
              </w:rPr>
            </w:pPr>
            <w:r>
              <w:rPr>
                <w:rFonts w:cs="Arial"/>
                <w:sz w:val="18"/>
                <w:szCs w:val="18"/>
              </w:rPr>
              <w:t>Positionen gegenüber Instituten und Unternehmen mit kurzfristiger Bonitätsbeurteilung</w:t>
            </w:r>
          </w:p>
        </w:tc>
        <w:tc>
          <w:tcPr>
            <w:tcW w:w="2097" w:type="dxa"/>
            <w:shd w:val="clear" w:color="auto" w:fill="auto"/>
            <w:vAlign w:val="center"/>
          </w:tcPr>
          <w:p>
            <w:pPr>
              <w:spacing w:before="20" w:after="20"/>
              <w:ind w:right="255"/>
              <w:jc w:val="right"/>
              <w:rPr>
                <w:rFonts w:cs="Arial"/>
                <w:sz w:val="18"/>
                <w:szCs w:val="18"/>
              </w:rPr>
            </w:pPr>
            <w:r>
              <w:rPr>
                <w:rFonts w:cs="Arial"/>
                <w:sz w:val="18"/>
                <w:szCs w:val="18"/>
              </w:rPr>
              <w:t>0</w:t>
            </w:r>
          </w:p>
        </w:tc>
        <w:tc>
          <w:tcPr>
            <w:tcW w:w="2126" w:type="dxa"/>
            <w:shd w:val="clear" w:color="auto" w:fill="auto"/>
            <w:vAlign w:val="center"/>
          </w:tcPr>
          <w:p>
            <w:pPr>
              <w:spacing w:before="20" w:after="20"/>
              <w:ind w:right="255"/>
              <w:jc w:val="right"/>
              <w:rPr>
                <w:rFonts w:cs="Arial"/>
                <w:sz w:val="18"/>
                <w:szCs w:val="18"/>
              </w:rPr>
            </w:pPr>
            <w:r>
              <w:rPr>
                <w:rFonts w:cs="Arial"/>
                <w:sz w:val="18"/>
                <w:szCs w:val="18"/>
              </w:rPr>
              <w:t>0</w:t>
            </w:r>
          </w:p>
        </w:tc>
      </w:tr>
      <w:tr>
        <w:tc>
          <w:tcPr>
            <w:tcW w:w="4423" w:type="dxa"/>
            <w:shd w:val="clear" w:color="auto" w:fill="auto"/>
            <w:vAlign w:val="bottom"/>
          </w:tcPr>
          <w:p>
            <w:pPr>
              <w:spacing w:before="20" w:after="20"/>
              <w:jc w:val="left"/>
              <w:rPr>
                <w:rFonts w:cs="Arial"/>
                <w:sz w:val="18"/>
                <w:szCs w:val="18"/>
              </w:rPr>
            </w:pPr>
            <w:r>
              <w:rPr>
                <w:rFonts w:cs="Arial"/>
                <w:sz w:val="18"/>
                <w:szCs w:val="18"/>
              </w:rPr>
              <w:t>Organismen für gemeinsame Anlagen (OGA)</w:t>
            </w:r>
          </w:p>
        </w:tc>
        <w:tc>
          <w:tcPr>
            <w:tcW w:w="2097" w:type="dxa"/>
            <w:shd w:val="clear" w:color="auto" w:fill="auto"/>
            <w:vAlign w:val="center"/>
          </w:tcPr>
          <w:p>
            <w:pPr>
              <w:spacing w:before="20" w:after="20"/>
              <w:ind w:right="255"/>
              <w:jc w:val="right"/>
              <w:rPr>
                <w:rFonts w:cs="Arial"/>
                <w:sz w:val="18"/>
                <w:szCs w:val="18"/>
              </w:rPr>
            </w:pPr>
            <w:r>
              <w:rPr>
                <w:rFonts w:cs="Arial"/>
                <w:sz w:val="18"/>
                <w:szCs w:val="18"/>
              </w:rPr>
              <w:t>15.744</w:t>
            </w:r>
          </w:p>
        </w:tc>
        <w:tc>
          <w:tcPr>
            <w:tcW w:w="2126" w:type="dxa"/>
            <w:shd w:val="clear" w:color="auto" w:fill="auto"/>
            <w:vAlign w:val="center"/>
          </w:tcPr>
          <w:p>
            <w:pPr>
              <w:spacing w:before="20" w:after="20"/>
              <w:ind w:right="255"/>
              <w:jc w:val="right"/>
              <w:rPr>
                <w:rFonts w:cs="Arial"/>
                <w:sz w:val="18"/>
                <w:szCs w:val="18"/>
              </w:rPr>
            </w:pPr>
            <w:r>
              <w:rPr>
                <w:rFonts w:cs="Arial"/>
                <w:sz w:val="18"/>
                <w:szCs w:val="18"/>
              </w:rPr>
              <w:t>17.801</w:t>
            </w:r>
          </w:p>
        </w:tc>
      </w:tr>
      <w:tr>
        <w:tc>
          <w:tcPr>
            <w:tcW w:w="4423" w:type="dxa"/>
            <w:shd w:val="clear" w:color="auto" w:fill="auto"/>
            <w:vAlign w:val="bottom"/>
          </w:tcPr>
          <w:p>
            <w:pPr>
              <w:spacing w:before="20" w:after="20"/>
              <w:jc w:val="left"/>
              <w:rPr>
                <w:rFonts w:cs="Arial"/>
                <w:sz w:val="18"/>
                <w:szCs w:val="18"/>
              </w:rPr>
            </w:pPr>
            <w:r>
              <w:rPr>
                <w:rFonts w:cs="Arial"/>
                <w:color w:val="000000"/>
                <w:sz w:val="18"/>
                <w:szCs w:val="18"/>
              </w:rPr>
              <w:t>Beteiligungen</w:t>
            </w:r>
          </w:p>
        </w:tc>
        <w:tc>
          <w:tcPr>
            <w:tcW w:w="2097" w:type="dxa"/>
            <w:shd w:val="clear" w:color="auto" w:fill="auto"/>
            <w:vAlign w:val="center"/>
          </w:tcPr>
          <w:p>
            <w:pPr>
              <w:spacing w:before="20" w:after="20"/>
              <w:ind w:right="255"/>
              <w:jc w:val="right"/>
              <w:rPr>
                <w:rFonts w:cs="Arial"/>
                <w:sz w:val="18"/>
                <w:szCs w:val="18"/>
              </w:rPr>
            </w:pPr>
            <w:r>
              <w:rPr>
                <w:rFonts w:cs="Arial"/>
                <w:sz w:val="18"/>
                <w:szCs w:val="18"/>
              </w:rPr>
              <w:t>18.338</w:t>
            </w:r>
          </w:p>
        </w:tc>
        <w:tc>
          <w:tcPr>
            <w:tcW w:w="2126" w:type="dxa"/>
            <w:shd w:val="clear" w:color="auto" w:fill="auto"/>
            <w:vAlign w:val="center"/>
          </w:tcPr>
          <w:p>
            <w:pPr>
              <w:spacing w:before="20" w:after="20"/>
              <w:ind w:right="255"/>
              <w:jc w:val="right"/>
              <w:rPr>
                <w:rFonts w:cs="Arial"/>
                <w:sz w:val="18"/>
                <w:szCs w:val="18"/>
              </w:rPr>
            </w:pPr>
            <w:r>
              <w:rPr>
                <w:rFonts w:cs="Arial"/>
                <w:sz w:val="18"/>
                <w:szCs w:val="18"/>
              </w:rPr>
              <w:t>18.574</w:t>
            </w:r>
          </w:p>
        </w:tc>
      </w:tr>
      <w:tr>
        <w:tc>
          <w:tcPr>
            <w:tcW w:w="4423" w:type="dxa"/>
            <w:shd w:val="clear" w:color="auto" w:fill="auto"/>
            <w:vAlign w:val="bottom"/>
          </w:tcPr>
          <w:p>
            <w:pPr>
              <w:spacing w:before="20" w:after="20"/>
              <w:jc w:val="left"/>
              <w:rPr>
                <w:rFonts w:cs="Arial"/>
                <w:color w:val="000000"/>
                <w:sz w:val="18"/>
                <w:szCs w:val="18"/>
              </w:rPr>
            </w:pPr>
            <w:r>
              <w:rPr>
                <w:rFonts w:cs="Arial"/>
                <w:color w:val="000000"/>
                <w:sz w:val="18"/>
                <w:szCs w:val="18"/>
              </w:rPr>
              <w:t>Sonstige Positionen</w:t>
            </w:r>
          </w:p>
        </w:tc>
        <w:tc>
          <w:tcPr>
            <w:tcW w:w="2097" w:type="dxa"/>
            <w:shd w:val="clear" w:color="auto" w:fill="auto"/>
            <w:vAlign w:val="center"/>
          </w:tcPr>
          <w:p>
            <w:pPr>
              <w:spacing w:before="20" w:after="20"/>
              <w:ind w:right="255"/>
              <w:jc w:val="right"/>
              <w:rPr>
                <w:rFonts w:cs="Arial"/>
                <w:sz w:val="18"/>
                <w:szCs w:val="18"/>
              </w:rPr>
            </w:pPr>
            <w:r>
              <w:rPr>
                <w:rFonts w:cs="Arial"/>
                <w:sz w:val="18"/>
                <w:szCs w:val="18"/>
              </w:rPr>
              <w:t>9.192</w:t>
            </w:r>
          </w:p>
        </w:tc>
        <w:tc>
          <w:tcPr>
            <w:tcW w:w="2126" w:type="dxa"/>
            <w:shd w:val="clear" w:color="auto" w:fill="auto"/>
            <w:vAlign w:val="center"/>
          </w:tcPr>
          <w:p>
            <w:pPr>
              <w:spacing w:before="20" w:after="20"/>
              <w:ind w:right="255"/>
              <w:jc w:val="right"/>
              <w:rPr>
                <w:rFonts w:cs="Arial"/>
                <w:sz w:val="18"/>
                <w:szCs w:val="18"/>
              </w:rPr>
            </w:pPr>
            <w:r>
              <w:rPr>
                <w:rFonts w:cs="Arial"/>
                <w:sz w:val="18"/>
                <w:szCs w:val="18"/>
              </w:rPr>
              <w:t>8.575</w:t>
            </w:r>
          </w:p>
        </w:tc>
      </w:tr>
      <w:tr>
        <w:tc>
          <w:tcPr>
            <w:tcW w:w="4423" w:type="dxa"/>
            <w:shd w:val="clear" w:color="auto" w:fill="auto"/>
            <w:vAlign w:val="bottom"/>
          </w:tcPr>
          <w:p>
            <w:pPr>
              <w:spacing w:before="20" w:after="20"/>
              <w:jc w:val="left"/>
              <w:rPr>
                <w:rFonts w:cs="Arial"/>
                <w:color w:val="000000"/>
                <w:sz w:val="18"/>
                <w:szCs w:val="18"/>
              </w:rPr>
            </w:pPr>
            <w:r>
              <w:rPr>
                <w:rFonts w:cs="Arial"/>
                <w:color w:val="000000"/>
                <w:sz w:val="18"/>
                <w:szCs w:val="18"/>
              </w:rPr>
              <w:t>Verbriefungspositionen nach SA</w:t>
            </w:r>
          </w:p>
        </w:tc>
        <w:tc>
          <w:tcPr>
            <w:tcW w:w="2097" w:type="dxa"/>
            <w:shd w:val="clear" w:color="auto" w:fill="auto"/>
            <w:vAlign w:val="center"/>
          </w:tcPr>
          <w:p>
            <w:pPr>
              <w:spacing w:before="20" w:after="20"/>
              <w:ind w:right="255"/>
              <w:jc w:val="right"/>
              <w:rPr>
                <w:rFonts w:cs="Arial"/>
                <w:sz w:val="18"/>
                <w:szCs w:val="18"/>
              </w:rPr>
            </w:pPr>
            <w:r>
              <w:rPr>
                <w:rFonts w:cs="Arial"/>
                <w:sz w:val="18"/>
                <w:szCs w:val="18"/>
              </w:rPr>
              <w:t>0</w:t>
            </w:r>
          </w:p>
        </w:tc>
        <w:tc>
          <w:tcPr>
            <w:tcW w:w="2126" w:type="dxa"/>
            <w:shd w:val="clear" w:color="auto" w:fill="auto"/>
            <w:vAlign w:val="center"/>
          </w:tcPr>
          <w:p>
            <w:pPr>
              <w:spacing w:before="20" w:after="20"/>
              <w:ind w:right="255"/>
              <w:jc w:val="right"/>
              <w:rPr>
                <w:rFonts w:cs="Arial"/>
                <w:sz w:val="18"/>
                <w:szCs w:val="18"/>
              </w:rPr>
            </w:pPr>
            <w:r>
              <w:rPr>
                <w:rFonts w:cs="Arial"/>
                <w:sz w:val="18"/>
                <w:szCs w:val="18"/>
              </w:rPr>
              <w:t>0</w:t>
            </w:r>
          </w:p>
        </w:tc>
      </w:tr>
      <w:tr>
        <w:tc>
          <w:tcPr>
            <w:tcW w:w="4423" w:type="dxa"/>
            <w:shd w:val="clear" w:color="auto" w:fill="auto"/>
            <w:vAlign w:val="bottom"/>
          </w:tcPr>
          <w:p>
            <w:pPr>
              <w:spacing w:before="20" w:after="20"/>
              <w:jc w:val="left"/>
              <w:rPr>
                <w:rFonts w:cs="Arial"/>
                <w:color w:val="000000"/>
                <w:sz w:val="18"/>
                <w:szCs w:val="18"/>
              </w:rPr>
            </w:pPr>
            <w:r>
              <w:rPr>
                <w:rFonts w:cs="Arial"/>
                <w:color w:val="000000"/>
                <w:sz w:val="18"/>
                <w:szCs w:val="18"/>
              </w:rPr>
              <w:t xml:space="preserve">   darunter: Wiederverbriefung</w:t>
            </w:r>
          </w:p>
        </w:tc>
        <w:tc>
          <w:tcPr>
            <w:tcW w:w="2097" w:type="dxa"/>
            <w:shd w:val="clear" w:color="auto" w:fill="auto"/>
            <w:vAlign w:val="center"/>
          </w:tcPr>
          <w:p>
            <w:pPr>
              <w:spacing w:before="20" w:after="20"/>
              <w:ind w:right="255"/>
              <w:jc w:val="right"/>
              <w:rPr>
                <w:rFonts w:cs="Arial"/>
                <w:sz w:val="18"/>
                <w:szCs w:val="18"/>
              </w:rPr>
            </w:pPr>
            <w:r>
              <w:rPr>
                <w:rFonts w:cs="Arial"/>
                <w:sz w:val="18"/>
                <w:szCs w:val="18"/>
              </w:rPr>
              <w:t>0</w:t>
            </w:r>
          </w:p>
        </w:tc>
        <w:tc>
          <w:tcPr>
            <w:tcW w:w="2126" w:type="dxa"/>
            <w:shd w:val="clear" w:color="auto" w:fill="auto"/>
            <w:vAlign w:val="center"/>
          </w:tcPr>
          <w:p>
            <w:pPr>
              <w:spacing w:before="20" w:after="20"/>
              <w:ind w:right="255"/>
              <w:jc w:val="right"/>
              <w:rPr>
                <w:rFonts w:cs="Arial"/>
                <w:sz w:val="18"/>
                <w:szCs w:val="18"/>
              </w:rPr>
            </w:pPr>
            <w:r>
              <w:rPr>
                <w:rFonts w:cs="Arial"/>
                <w:sz w:val="18"/>
                <w:szCs w:val="18"/>
              </w:rPr>
              <w:t>0</w:t>
            </w:r>
          </w:p>
        </w:tc>
      </w:tr>
      <w:tr>
        <w:tc>
          <w:tcPr>
            <w:tcW w:w="4423" w:type="dxa"/>
            <w:vAlign w:val="bottom"/>
          </w:tcPr>
          <w:p>
            <w:pPr>
              <w:spacing w:before="20" w:after="20"/>
              <w:jc w:val="left"/>
              <w:rPr>
                <w:rFonts w:cs="Arial"/>
                <w:b/>
                <w:color w:val="000000"/>
                <w:sz w:val="18"/>
                <w:szCs w:val="18"/>
              </w:rPr>
            </w:pPr>
            <w:r>
              <w:rPr>
                <w:rFonts w:cs="Arial"/>
                <w:b/>
                <w:color w:val="000000"/>
                <w:sz w:val="18"/>
                <w:szCs w:val="18"/>
              </w:rPr>
              <w:t>Gesamt</w:t>
            </w:r>
          </w:p>
        </w:tc>
        <w:tc>
          <w:tcPr>
            <w:tcW w:w="2097" w:type="dxa"/>
            <w:vAlign w:val="center"/>
          </w:tcPr>
          <w:p>
            <w:pPr>
              <w:spacing w:before="20" w:after="20"/>
              <w:ind w:right="255"/>
              <w:jc w:val="right"/>
              <w:rPr>
                <w:rFonts w:cs="Arial"/>
                <w:b/>
                <w:sz w:val="18"/>
                <w:szCs w:val="18"/>
              </w:rPr>
            </w:pPr>
            <w:r>
              <w:rPr>
                <w:rFonts w:cs="Arial"/>
                <w:b/>
                <w:sz w:val="18"/>
                <w:szCs w:val="18"/>
              </w:rPr>
              <w:t>821.607</w:t>
            </w:r>
          </w:p>
        </w:tc>
        <w:tc>
          <w:tcPr>
            <w:tcW w:w="2126" w:type="dxa"/>
            <w:vAlign w:val="center"/>
          </w:tcPr>
          <w:p>
            <w:pPr>
              <w:spacing w:before="20" w:after="20"/>
              <w:ind w:right="255"/>
              <w:jc w:val="right"/>
              <w:rPr>
                <w:rFonts w:cs="Arial"/>
                <w:b/>
                <w:sz w:val="18"/>
                <w:szCs w:val="18"/>
              </w:rPr>
            </w:pPr>
            <w:r>
              <w:rPr>
                <w:rFonts w:cs="Arial"/>
                <w:b/>
                <w:sz w:val="18"/>
                <w:szCs w:val="18"/>
              </w:rPr>
              <w:t>803.839</w:t>
            </w:r>
          </w:p>
        </w:tc>
      </w:tr>
    </w:tbl>
    <w:p>
      <w:pPr>
        <w:jc w:val="left"/>
      </w:pPr>
      <w:bookmarkStart w:id="9" w:name="_Toc411871693"/>
    </w:p>
    <w:p>
      <w:pPr>
        <w:spacing w:before="0" w:after="0"/>
        <w:jc w:val="left"/>
      </w:pPr>
      <w:r>
        <w:br w:type="page"/>
      </w:r>
    </w:p>
    <w:p>
      <w:pPr>
        <w:jc w:val="left"/>
      </w:pPr>
    </w:p>
    <w:p>
      <w:pPr>
        <w:pStyle w:val="Randziffer"/>
        <w:ind w:left="357" w:hanging="357"/>
      </w:pPr>
      <w:r>
        <w:t xml:space="preserve">Aufschlüsselung </w:t>
      </w:r>
      <w:bookmarkEnd w:id="9"/>
      <w:r>
        <w:t>der Risikopositionen nach wichtigen Gebieten:</w:t>
      </w:r>
    </w:p>
    <w:tbl>
      <w:tblPr>
        <w:tblW w:w="8788" w:type="dxa"/>
        <w:tblInd w:w="354" w:type="dxa"/>
        <w:tblLayout w:type="fixed"/>
        <w:tblCellMar>
          <w:left w:w="70" w:type="dxa"/>
          <w:right w:w="70" w:type="dxa"/>
        </w:tblCellMar>
        <w:tblLook w:val="04A0" w:firstRow="1" w:lastRow="0" w:firstColumn="1" w:lastColumn="0" w:noHBand="0" w:noVBand="1"/>
      </w:tblPr>
      <w:tblGrid>
        <w:gridCol w:w="142"/>
        <w:gridCol w:w="2631"/>
        <w:gridCol w:w="2005"/>
        <w:gridCol w:w="2005"/>
        <w:gridCol w:w="2005"/>
      </w:tblGrid>
      <w:tr>
        <w:trPr>
          <w:trHeight w:val="420"/>
        </w:trPr>
        <w:tc>
          <w:tcPr>
            <w:tcW w:w="2773" w:type="dxa"/>
            <w:gridSpan w:val="2"/>
            <w:tcBorders>
              <w:top w:val="nil"/>
              <w:left w:val="nil"/>
              <w:bottom w:val="nil"/>
              <w:right w:val="nil"/>
            </w:tcBorders>
            <w:shd w:val="clear" w:color="000000" w:fill="FFFFFF"/>
            <w:vAlign w:val="center"/>
          </w:tcPr>
          <w:p>
            <w:pPr>
              <w:spacing w:before="0" w:after="0"/>
              <w:jc w:val="left"/>
              <w:rPr>
                <w:rFonts w:cs="Arial"/>
                <w:b/>
                <w:bCs/>
                <w:sz w:val="20"/>
                <w:szCs w:val="20"/>
              </w:rPr>
            </w:pPr>
          </w:p>
        </w:tc>
        <w:tc>
          <w:tcPr>
            <w:tcW w:w="2005" w:type="dxa"/>
            <w:tcBorders>
              <w:top w:val="single" w:sz="8" w:space="0" w:color="auto"/>
              <w:left w:val="single" w:sz="8" w:space="0" w:color="auto"/>
              <w:bottom w:val="single" w:sz="8" w:space="0" w:color="auto"/>
              <w:right w:val="single" w:sz="4" w:space="0" w:color="auto"/>
            </w:tcBorders>
            <w:shd w:val="clear" w:color="auto" w:fill="00B0F0"/>
            <w:vAlign w:val="center"/>
          </w:tcPr>
          <w:p>
            <w:pPr>
              <w:spacing w:before="0" w:after="0"/>
              <w:jc w:val="center"/>
              <w:rPr>
                <w:rFonts w:cs="Arial"/>
                <w:b/>
                <w:bCs/>
                <w:color w:val="FFFFFF" w:themeColor="background1"/>
                <w:sz w:val="18"/>
                <w:szCs w:val="18"/>
              </w:rPr>
            </w:pPr>
            <w:r>
              <w:rPr>
                <w:rFonts w:cs="Arial"/>
                <w:b/>
                <w:bCs/>
                <w:color w:val="FFFFFF" w:themeColor="background1"/>
                <w:sz w:val="18"/>
                <w:szCs w:val="18"/>
              </w:rPr>
              <w:t>Deutschland</w:t>
            </w:r>
          </w:p>
        </w:tc>
        <w:tc>
          <w:tcPr>
            <w:tcW w:w="2005" w:type="dxa"/>
            <w:tcBorders>
              <w:top w:val="single" w:sz="8" w:space="0" w:color="auto"/>
              <w:left w:val="nil"/>
              <w:bottom w:val="single" w:sz="8" w:space="0" w:color="auto"/>
              <w:right w:val="single" w:sz="4" w:space="0" w:color="auto"/>
            </w:tcBorders>
            <w:shd w:val="clear" w:color="auto" w:fill="00B0F0"/>
            <w:vAlign w:val="center"/>
          </w:tcPr>
          <w:p>
            <w:pPr>
              <w:spacing w:before="0" w:after="0"/>
              <w:jc w:val="center"/>
              <w:rPr>
                <w:rFonts w:cs="Arial"/>
                <w:b/>
                <w:bCs/>
                <w:color w:val="FFFFFF" w:themeColor="background1"/>
                <w:sz w:val="18"/>
                <w:szCs w:val="18"/>
              </w:rPr>
            </w:pPr>
            <w:r>
              <w:rPr>
                <w:rFonts w:cs="Arial"/>
                <w:b/>
                <w:bCs/>
                <w:color w:val="FFFFFF" w:themeColor="background1"/>
                <w:sz w:val="18"/>
                <w:szCs w:val="18"/>
              </w:rPr>
              <w:t>EU</w:t>
            </w:r>
          </w:p>
        </w:tc>
        <w:tc>
          <w:tcPr>
            <w:tcW w:w="2005" w:type="dxa"/>
            <w:tcBorders>
              <w:top w:val="single" w:sz="8" w:space="0" w:color="auto"/>
              <w:left w:val="single" w:sz="8" w:space="0" w:color="auto"/>
              <w:bottom w:val="single" w:sz="8" w:space="0" w:color="auto"/>
              <w:right w:val="single" w:sz="8" w:space="0" w:color="auto"/>
            </w:tcBorders>
            <w:shd w:val="clear" w:color="auto" w:fill="00B0F0"/>
            <w:vAlign w:val="center"/>
          </w:tcPr>
          <w:p>
            <w:pPr>
              <w:spacing w:before="0" w:after="0"/>
              <w:jc w:val="center"/>
              <w:rPr>
                <w:rFonts w:cs="Arial"/>
                <w:b/>
                <w:bCs/>
                <w:color w:val="FFFFFF" w:themeColor="background1"/>
                <w:sz w:val="18"/>
                <w:szCs w:val="18"/>
              </w:rPr>
            </w:pPr>
            <w:r>
              <w:rPr>
                <w:rFonts w:cs="Arial"/>
                <w:b/>
                <w:bCs/>
                <w:color w:val="FFFFFF" w:themeColor="background1"/>
                <w:sz w:val="18"/>
                <w:szCs w:val="18"/>
              </w:rPr>
              <w:t>Nicht-EU</w:t>
            </w:r>
          </w:p>
        </w:tc>
      </w:tr>
      <w:tr>
        <w:trPr>
          <w:trHeight w:val="420"/>
        </w:trPr>
        <w:tc>
          <w:tcPr>
            <w:tcW w:w="2773" w:type="dxa"/>
            <w:gridSpan w:val="2"/>
            <w:tcBorders>
              <w:top w:val="nil"/>
              <w:left w:val="nil"/>
              <w:bottom w:val="nil"/>
              <w:right w:val="nil"/>
            </w:tcBorders>
            <w:shd w:val="clear" w:color="000000" w:fill="FFFFFF"/>
            <w:vAlign w:val="center"/>
            <w:hideMark/>
          </w:tcPr>
          <w:p>
            <w:pPr>
              <w:spacing w:before="0" w:after="0"/>
              <w:jc w:val="left"/>
              <w:rPr>
                <w:rFonts w:cs="Arial"/>
                <w:b/>
                <w:bCs/>
                <w:sz w:val="20"/>
                <w:szCs w:val="20"/>
              </w:rPr>
            </w:pPr>
            <w:r>
              <w:rPr>
                <w:rFonts w:cs="Arial"/>
                <w:b/>
                <w:bCs/>
                <w:sz w:val="20"/>
                <w:szCs w:val="20"/>
              </w:rPr>
              <w:t> </w:t>
            </w:r>
          </w:p>
        </w:tc>
        <w:tc>
          <w:tcPr>
            <w:tcW w:w="2005"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pPr>
              <w:spacing w:before="0" w:after="0"/>
              <w:jc w:val="center"/>
              <w:rPr>
                <w:rFonts w:cs="Arial"/>
                <w:b/>
                <w:bCs/>
                <w:sz w:val="18"/>
                <w:szCs w:val="18"/>
              </w:rPr>
            </w:pPr>
            <w:r>
              <w:rPr>
                <w:rFonts w:cs="Arial"/>
                <w:b/>
                <w:bCs/>
                <w:sz w:val="18"/>
                <w:szCs w:val="18"/>
              </w:rPr>
              <w:t xml:space="preserve">Gesamt </w:t>
            </w:r>
          </w:p>
          <w:p>
            <w:pPr>
              <w:spacing w:before="0" w:after="0"/>
              <w:jc w:val="center"/>
              <w:rPr>
                <w:rFonts w:cs="Arial"/>
                <w:b/>
                <w:bCs/>
                <w:sz w:val="18"/>
                <w:szCs w:val="18"/>
              </w:rPr>
            </w:pPr>
            <w:r>
              <w:rPr>
                <w:rFonts w:cs="Arial"/>
                <w:b/>
                <w:bCs/>
                <w:sz w:val="18"/>
                <w:szCs w:val="18"/>
              </w:rPr>
              <w:t>TEUR</w:t>
            </w:r>
          </w:p>
        </w:tc>
        <w:tc>
          <w:tcPr>
            <w:tcW w:w="2005"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pPr>
              <w:spacing w:before="0" w:after="0"/>
              <w:jc w:val="center"/>
              <w:rPr>
                <w:rFonts w:cs="Arial"/>
                <w:b/>
                <w:bCs/>
                <w:sz w:val="18"/>
                <w:szCs w:val="18"/>
              </w:rPr>
            </w:pPr>
            <w:r>
              <w:rPr>
                <w:rFonts w:cs="Arial"/>
                <w:b/>
                <w:bCs/>
                <w:sz w:val="18"/>
                <w:szCs w:val="18"/>
              </w:rPr>
              <w:t>Gesamt</w:t>
            </w:r>
          </w:p>
          <w:p>
            <w:pPr>
              <w:spacing w:before="0" w:after="0"/>
              <w:jc w:val="center"/>
              <w:rPr>
                <w:rFonts w:cs="Arial"/>
                <w:b/>
                <w:bCs/>
                <w:sz w:val="18"/>
                <w:szCs w:val="18"/>
              </w:rPr>
            </w:pPr>
            <w:r>
              <w:rPr>
                <w:rFonts w:cs="Arial"/>
                <w:b/>
                <w:bCs/>
                <w:sz w:val="18"/>
                <w:szCs w:val="18"/>
              </w:rPr>
              <w:t>TEUR</w:t>
            </w:r>
          </w:p>
        </w:tc>
        <w:tc>
          <w:tcPr>
            <w:tcW w:w="200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pPr>
              <w:spacing w:before="0" w:after="0"/>
              <w:jc w:val="center"/>
              <w:rPr>
                <w:rFonts w:cs="Arial"/>
                <w:b/>
                <w:bCs/>
                <w:sz w:val="18"/>
                <w:szCs w:val="18"/>
              </w:rPr>
            </w:pPr>
            <w:r>
              <w:rPr>
                <w:rFonts w:cs="Arial"/>
                <w:b/>
                <w:bCs/>
                <w:sz w:val="18"/>
                <w:szCs w:val="18"/>
              </w:rPr>
              <w:t>Gesamt</w:t>
            </w:r>
          </w:p>
          <w:p>
            <w:pPr>
              <w:spacing w:before="0" w:after="0"/>
              <w:jc w:val="center"/>
              <w:rPr>
                <w:rFonts w:cs="Arial"/>
                <w:b/>
                <w:bCs/>
                <w:sz w:val="18"/>
                <w:szCs w:val="18"/>
              </w:rPr>
            </w:pPr>
            <w:r>
              <w:rPr>
                <w:rFonts w:cs="Arial"/>
                <w:b/>
                <w:bCs/>
                <w:sz w:val="18"/>
                <w:szCs w:val="18"/>
              </w:rPr>
              <w:t>TEUR</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Staaten oder Zentralbanken</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39.180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20.204</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1.539</w:t>
            </w:r>
          </w:p>
        </w:tc>
      </w:tr>
      <w:tr>
        <w:trPr>
          <w:gridBefore w:val="1"/>
          <w:wBefore w:w="142" w:type="dxa"/>
          <w:trHeight w:val="393"/>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Regionale oder lokale         Gebietskörperschaften</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6.16</w:t>
            </w:r>
            <w:r>
              <w:rPr>
                <w:rFonts w:cs="Arial"/>
                <w:sz w:val="18"/>
                <w:szCs w:val="18"/>
              </w:rPr>
              <w:t>4</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Öffentliche Stellen</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4.472</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left"/>
              <w:rPr>
                <w:rFonts w:cs="Arial"/>
                <w:color w:val="000000"/>
                <w:sz w:val="18"/>
                <w:szCs w:val="18"/>
              </w:rPr>
            </w:pPr>
            <w:r>
              <w:rPr>
                <w:rFonts w:cs="Arial"/>
                <w:color w:val="000000"/>
                <w:sz w:val="18"/>
                <w:szCs w:val="18"/>
              </w:rPr>
              <w:t>Multilaterale Entwicklungsbanken</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left"/>
              <w:rPr>
                <w:rFonts w:cs="Arial"/>
                <w:color w:val="000000"/>
                <w:sz w:val="18"/>
                <w:szCs w:val="18"/>
              </w:rPr>
            </w:pPr>
            <w:r>
              <w:rPr>
                <w:rFonts w:cs="Arial"/>
                <w:color w:val="000000"/>
                <w:sz w:val="18"/>
                <w:szCs w:val="18"/>
              </w:rPr>
              <w:t>Internationale Organisationen</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Institute</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15.460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4.766</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Unternehmen</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238.220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16.295</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8.433</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Mengengeschäft</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156.664</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38</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231</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Durch Immobilien besichert</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255.655</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34</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39</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Ausgefallene Positionen</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1.680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2</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left"/>
              <w:rPr>
                <w:rFonts w:cs="Arial"/>
                <w:color w:val="000000"/>
                <w:sz w:val="18"/>
                <w:szCs w:val="18"/>
              </w:rPr>
            </w:pPr>
            <w:r>
              <w:rPr>
                <w:rFonts w:cs="Arial"/>
                <w:color w:val="000000"/>
                <w:sz w:val="18"/>
                <w:szCs w:val="18"/>
              </w:rPr>
              <w:t xml:space="preserve">Mit besonders hohem Risiko verbundene Positionen </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r>
      <w:tr>
        <w:trPr>
          <w:gridBefore w:val="1"/>
          <w:wBefore w:w="142" w:type="dxa"/>
          <w:trHeight w:val="453"/>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Gedeckte                       Schuldverschreibungen</w:t>
            </w:r>
          </w:p>
        </w:tc>
        <w:tc>
          <w:tcPr>
            <w:tcW w:w="2005" w:type="dxa"/>
            <w:tcBorders>
              <w:top w:val="single" w:sz="8" w:space="0" w:color="auto"/>
              <w:left w:val="nil"/>
              <w:bottom w:val="single" w:sz="8" w:space="0" w:color="auto"/>
              <w:right w:val="single" w:sz="4" w:space="0" w:color="auto"/>
            </w:tcBorders>
            <w:shd w:val="clear" w:color="auto" w:fill="auto"/>
            <w:vAlign w:val="center"/>
            <w:hideMark/>
          </w:tcPr>
          <w:p>
            <w:pPr>
              <w:spacing w:before="0" w:after="0"/>
              <w:ind w:right="255"/>
              <w:jc w:val="right"/>
              <w:rPr>
                <w:rFonts w:cs="Arial"/>
                <w:color w:val="000000"/>
                <w:sz w:val="18"/>
                <w:szCs w:val="18"/>
              </w:rPr>
            </w:pPr>
            <w:r>
              <w:rPr>
                <w:rFonts w:cs="Arial"/>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7.265</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1.992</w:t>
            </w:r>
          </w:p>
        </w:tc>
      </w:tr>
      <w:tr>
        <w:trPr>
          <w:gridBefore w:val="1"/>
          <w:wBefore w:w="142" w:type="dxa"/>
          <w:trHeight w:val="453"/>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left"/>
              <w:rPr>
                <w:rFonts w:cs="Arial"/>
                <w:color w:val="000000"/>
                <w:sz w:val="18"/>
                <w:szCs w:val="18"/>
              </w:rPr>
            </w:pPr>
            <w:r>
              <w:rPr>
                <w:rFonts w:cs="Arial"/>
                <w:color w:val="000000"/>
                <w:sz w:val="18"/>
                <w:szCs w:val="18"/>
              </w:rPr>
              <w:t>Positionen gegenüber Instituten und Unternehmen mit kurzfristiger Bonitätsbeurteilung</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sz w:val="18"/>
                <w:szCs w:val="18"/>
              </w:rPr>
            </w:pPr>
            <w:r>
              <w:rPr>
                <w:rFonts w:cs="Arial"/>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0</w:t>
            </w:r>
          </w:p>
        </w:tc>
      </w:tr>
      <w:tr>
        <w:trPr>
          <w:gridBefore w:val="1"/>
          <w:wBefore w:w="142" w:type="dxa"/>
          <w:trHeight w:val="456"/>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Organismen für gemeinsame Anlagen (OGA)</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7.8</w:t>
            </w:r>
            <w:r>
              <w:rPr>
                <w:rFonts w:cs="Arial"/>
                <w:sz w:val="18"/>
                <w:szCs w:val="18"/>
              </w:rPr>
              <w:t>15</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7.929</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sz w:val="18"/>
                <w:szCs w:val="18"/>
              </w:rPr>
              <w:t>0</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Beteiligungen</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17.967</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371</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sz w:val="18"/>
                <w:szCs w:val="18"/>
              </w:rPr>
              <w:t>0</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Sonstige Positionen</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9.192</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sz w:val="18"/>
                <w:szCs w:val="18"/>
              </w:rPr>
              <w:t>0</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left"/>
              <w:rPr>
                <w:rFonts w:cs="Arial"/>
                <w:color w:val="000000"/>
                <w:sz w:val="18"/>
                <w:szCs w:val="18"/>
              </w:rPr>
            </w:pPr>
            <w:r>
              <w:rPr>
                <w:rFonts w:cs="Arial"/>
                <w:color w:val="000000"/>
                <w:sz w:val="18"/>
                <w:szCs w:val="18"/>
              </w:rPr>
              <w:t>Verbriefungspositionen nach SA</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sz w:val="18"/>
                <w:szCs w:val="18"/>
              </w:rPr>
            </w:pPr>
            <w:r>
              <w:rPr>
                <w:rFonts w:cs="Arial"/>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sz w:val="18"/>
                <w:szCs w:val="18"/>
              </w:rPr>
            </w:pPr>
            <w:r>
              <w:rPr>
                <w:rFonts w:cs="Arial"/>
                <w:sz w:val="18"/>
                <w:szCs w:val="18"/>
              </w:rPr>
              <w:t>0</w:t>
            </w:r>
          </w:p>
        </w:tc>
      </w:tr>
      <w:tr>
        <w:trPr>
          <w:gridBefore w:val="1"/>
          <w:wBefore w:w="142" w:type="dxa"/>
          <w:trHeight w:val="264"/>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left"/>
              <w:rPr>
                <w:rFonts w:cs="Arial"/>
                <w:color w:val="000000"/>
                <w:sz w:val="18"/>
                <w:szCs w:val="18"/>
              </w:rPr>
            </w:pPr>
            <w:r>
              <w:rPr>
                <w:rFonts w:cs="Arial"/>
                <w:color w:val="000000"/>
                <w:sz w:val="18"/>
                <w:szCs w:val="18"/>
              </w:rPr>
              <w:t xml:space="preserve">   davon: Wiederverbriefung</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sz w:val="18"/>
                <w:szCs w:val="18"/>
              </w:rPr>
            </w:pPr>
            <w:r>
              <w:rPr>
                <w:rFonts w:cs="Arial"/>
                <w:sz w:val="18"/>
                <w:szCs w:val="18"/>
              </w:rPr>
              <w:t>0</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sz w:val="18"/>
                <w:szCs w:val="18"/>
              </w:rPr>
            </w:pPr>
            <w:r>
              <w:rPr>
                <w:rFonts w:cs="Arial"/>
                <w:sz w:val="18"/>
                <w:szCs w:val="18"/>
              </w:rPr>
              <w:t>0</w:t>
            </w:r>
          </w:p>
        </w:tc>
      </w:tr>
      <w:tr>
        <w:trPr>
          <w:gridBefore w:val="1"/>
          <w:wBefore w:w="142" w:type="dxa"/>
          <w:trHeight w:val="276"/>
        </w:trPr>
        <w:tc>
          <w:tcPr>
            <w:tcW w:w="26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b/>
                <w:bCs/>
                <w:color w:val="000000"/>
                <w:sz w:val="18"/>
                <w:szCs w:val="18"/>
              </w:rPr>
            </w:pPr>
            <w:r>
              <w:rPr>
                <w:rFonts w:cs="Arial"/>
                <w:b/>
                <w:bCs/>
                <w:color w:val="000000"/>
                <w:sz w:val="18"/>
                <w:szCs w:val="18"/>
              </w:rPr>
              <w:t>Gesamt</w:t>
            </w:r>
          </w:p>
        </w:tc>
        <w:tc>
          <w:tcPr>
            <w:tcW w:w="2005"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b/>
                <w:bCs/>
                <w:color w:val="000000"/>
                <w:sz w:val="18"/>
                <w:szCs w:val="18"/>
              </w:rPr>
            </w:pPr>
            <w:r>
              <w:rPr>
                <w:rFonts w:cs="Arial"/>
                <w:b/>
                <w:bCs/>
                <w:color w:val="000000"/>
                <w:sz w:val="18"/>
                <w:szCs w:val="18"/>
              </w:rPr>
              <w:t>752.469</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b/>
                <w:color w:val="000000"/>
                <w:sz w:val="18"/>
                <w:szCs w:val="18"/>
              </w:rPr>
            </w:pPr>
            <w:r>
              <w:rPr>
                <w:rFonts w:cs="Arial"/>
                <w:b/>
                <w:color w:val="000000"/>
                <w:sz w:val="18"/>
                <w:szCs w:val="18"/>
              </w:rPr>
              <w:t>56.902</w:t>
            </w:r>
          </w:p>
        </w:tc>
        <w:tc>
          <w:tcPr>
            <w:tcW w:w="2005" w:type="dxa"/>
            <w:tcBorders>
              <w:top w:val="single" w:sz="8" w:space="0" w:color="auto"/>
              <w:left w:val="nil"/>
              <w:bottom w:val="single" w:sz="8" w:space="0" w:color="auto"/>
              <w:right w:val="single" w:sz="8" w:space="0" w:color="auto"/>
            </w:tcBorders>
            <w:shd w:val="clear" w:color="auto" w:fill="auto"/>
            <w:noWrap/>
            <w:vAlign w:val="center"/>
          </w:tcPr>
          <w:p>
            <w:pPr>
              <w:spacing w:before="0" w:after="0"/>
              <w:ind w:right="255"/>
              <w:jc w:val="right"/>
              <w:rPr>
                <w:rFonts w:cs="Arial"/>
                <w:b/>
                <w:color w:val="000000"/>
                <w:sz w:val="18"/>
                <w:szCs w:val="18"/>
              </w:rPr>
            </w:pPr>
            <w:r>
              <w:rPr>
                <w:rFonts w:cs="Arial"/>
                <w:b/>
                <w:color w:val="000000"/>
                <w:sz w:val="18"/>
                <w:szCs w:val="18"/>
              </w:rPr>
              <w:t>12.236</w:t>
            </w:r>
          </w:p>
        </w:tc>
      </w:tr>
    </w:tbl>
    <w:p>
      <w:pPr>
        <w:spacing w:before="0" w:after="0"/>
        <w:jc w:val="left"/>
        <w:rPr>
          <w:rFonts w:cs="Arial"/>
        </w:rPr>
      </w:pPr>
    </w:p>
    <w:p>
      <w:pPr>
        <w:spacing w:before="0" w:after="0"/>
        <w:jc w:val="left"/>
        <w:rPr>
          <w:rFonts w:cs="Arial"/>
        </w:rPr>
      </w:pPr>
      <w:r>
        <w:rPr>
          <w:rFonts w:cs="Arial"/>
        </w:rPr>
        <w:br w:type="page"/>
      </w:r>
    </w:p>
    <w:p>
      <w:pPr>
        <w:spacing w:before="0" w:after="0"/>
        <w:jc w:val="left"/>
        <w:rPr>
          <w:rFonts w:cs="Arial"/>
        </w:rPr>
      </w:pPr>
    </w:p>
    <w:p>
      <w:pPr>
        <w:pStyle w:val="Randziffer"/>
      </w:pPr>
      <w:r>
        <w:t>Aufschlüsselung der Risikopositionen nach Wirtschaftszweigen oder Arten von Gegenparteien:</w:t>
      </w:r>
    </w:p>
    <w:tbl>
      <w:tblPr>
        <w:tblW w:w="9144" w:type="dxa"/>
        <w:tblInd w:w="70" w:type="dxa"/>
        <w:tblCellMar>
          <w:left w:w="70" w:type="dxa"/>
          <w:right w:w="70" w:type="dxa"/>
        </w:tblCellMar>
        <w:tblLook w:val="04A0" w:firstRow="1" w:lastRow="0" w:firstColumn="1" w:lastColumn="0" w:noHBand="0" w:noVBand="1"/>
      </w:tblPr>
      <w:tblGrid>
        <w:gridCol w:w="2194"/>
        <w:gridCol w:w="974"/>
        <w:gridCol w:w="990"/>
        <w:gridCol w:w="990"/>
        <w:gridCol w:w="991"/>
        <w:gridCol w:w="990"/>
        <w:gridCol w:w="990"/>
        <w:gridCol w:w="1025"/>
      </w:tblGrid>
      <w:tr>
        <w:trPr>
          <w:trHeight w:val="720"/>
        </w:trPr>
        <w:tc>
          <w:tcPr>
            <w:tcW w:w="2194" w:type="dxa"/>
            <w:tcBorders>
              <w:top w:val="nil"/>
              <w:left w:val="nil"/>
              <w:bottom w:val="nil"/>
              <w:right w:val="nil"/>
            </w:tcBorders>
            <w:shd w:val="clear" w:color="000000" w:fill="FFFFFF"/>
            <w:noWrap/>
            <w:vAlign w:val="bottom"/>
            <w:hideMark/>
          </w:tcPr>
          <w:p>
            <w:pPr>
              <w:spacing w:before="0" w:after="0"/>
              <w:jc w:val="left"/>
              <w:rPr>
                <w:rFonts w:cs="Arial"/>
                <w:color w:val="000000"/>
                <w:sz w:val="20"/>
                <w:szCs w:val="20"/>
              </w:rPr>
            </w:pPr>
            <w:r>
              <w:rPr>
                <w:rFonts w:cs="Arial"/>
                <w:color w:val="000000"/>
                <w:sz w:val="20"/>
                <w:szCs w:val="20"/>
              </w:rPr>
              <w:t> </w:t>
            </w:r>
          </w:p>
        </w:tc>
        <w:tc>
          <w:tcPr>
            <w:tcW w:w="974" w:type="dxa"/>
            <w:tcBorders>
              <w:top w:val="single" w:sz="8" w:space="0" w:color="auto"/>
              <w:left w:val="single" w:sz="8" w:space="0" w:color="auto"/>
              <w:bottom w:val="single" w:sz="4" w:space="0" w:color="auto"/>
              <w:right w:val="single" w:sz="8" w:space="0" w:color="auto"/>
            </w:tcBorders>
            <w:shd w:val="clear" w:color="auto" w:fill="00B0F0"/>
            <w:vAlign w:val="center"/>
            <w:hideMark/>
          </w:tcPr>
          <w:p>
            <w:pPr>
              <w:spacing w:before="0" w:after="0"/>
              <w:jc w:val="center"/>
              <w:rPr>
                <w:rFonts w:cs="Arial"/>
                <w:b/>
                <w:bCs/>
                <w:color w:val="FFFFFF"/>
                <w:sz w:val="16"/>
                <w:szCs w:val="16"/>
              </w:rPr>
            </w:pPr>
            <w:r>
              <w:rPr>
                <w:rFonts w:cs="Arial"/>
                <w:b/>
                <w:bCs/>
                <w:color w:val="FFFFFF"/>
                <w:sz w:val="16"/>
                <w:szCs w:val="16"/>
              </w:rPr>
              <w:t>Privatkunden (Nicht-Selbstständige)</w:t>
            </w:r>
          </w:p>
        </w:tc>
        <w:tc>
          <w:tcPr>
            <w:tcW w:w="4951" w:type="dxa"/>
            <w:gridSpan w:val="5"/>
            <w:tcBorders>
              <w:top w:val="single" w:sz="8" w:space="0" w:color="auto"/>
              <w:left w:val="nil"/>
              <w:bottom w:val="single" w:sz="4" w:space="0" w:color="auto"/>
              <w:right w:val="nil"/>
            </w:tcBorders>
            <w:shd w:val="clear" w:color="auto" w:fill="00B0F0"/>
            <w:noWrap/>
            <w:vAlign w:val="center"/>
            <w:hideMark/>
          </w:tcPr>
          <w:p>
            <w:pPr>
              <w:spacing w:before="0" w:after="0"/>
              <w:jc w:val="center"/>
              <w:rPr>
                <w:rFonts w:cs="Arial"/>
                <w:b/>
                <w:bCs/>
                <w:color w:val="FFFFFF"/>
                <w:sz w:val="16"/>
                <w:szCs w:val="16"/>
              </w:rPr>
            </w:pPr>
            <w:r>
              <w:rPr>
                <w:rFonts w:cs="Arial"/>
                <w:b/>
                <w:bCs/>
                <w:color w:val="FFFFFF"/>
                <w:sz w:val="16"/>
                <w:szCs w:val="16"/>
              </w:rPr>
              <w:t>Nicht-Privatkunden</w:t>
            </w:r>
          </w:p>
        </w:tc>
        <w:tc>
          <w:tcPr>
            <w:tcW w:w="1025" w:type="dxa"/>
            <w:tcBorders>
              <w:top w:val="single" w:sz="8" w:space="0" w:color="auto"/>
              <w:left w:val="nil"/>
              <w:bottom w:val="single" w:sz="4" w:space="0" w:color="auto"/>
              <w:right w:val="nil"/>
            </w:tcBorders>
            <w:shd w:val="clear" w:color="auto" w:fill="00B0F0"/>
          </w:tcPr>
          <w:p>
            <w:pPr>
              <w:spacing w:before="0" w:after="0"/>
              <w:jc w:val="center"/>
              <w:rPr>
                <w:rFonts w:cs="Arial"/>
                <w:b/>
                <w:bCs/>
                <w:color w:val="FFFFFF"/>
                <w:sz w:val="18"/>
                <w:szCs w:val="18"/>
              </w:rPr>
            </w:pPr>
          </w:p>
        </w:tc>
      </w:tr>
      <w:tr>
        <w:trPr>
          <w:trHeight w:val="844"/>
        </w:trPr>
        <w:tc>
          <w:tcPr>
            <w:tcW w:w="2194" w:type="dxa"/>
            <w:tcBorders>
              <w:top w:val="nil"/>
              <w:left w:val="nil"/>
              <w:bottom w:val="nil"/>
              <w:right w:val="nil"/>
            </w:tcBorders>
            <w:shd w:val="clear" w:color="000000" w:fill="FFFFFF"/>
            <w:vAlign w:val="center"/>
            <w:hideMark/>
          </w:tcPr>
          <w:p>
            <w:pPr>
              <w:spacing w:before="0" w:after="0"/>
              <w:jc w:val="left"/>
              <w:rPr>
                <w:rFonts w:cs="Arial"/>
                <w:b/>
                <w:bCs/>
                <w:sz w:val="20"/>
                <w:szCs w:val="20"/>
              </w:rPr>
            </w:pPr>
            <w:r>
              <w:rPr>
                <w:rFonts w:cs="Arial"/>
                <w:b/>
                <w:bCs/>
                <w:sz w:val="20"/>
                <w:szCs w:val="20"/>
              </w:rPr>
              <w:t> </w:t>
            </w:r>
          </w:p>
        </w:tc>
        <w:tc>
          <w:tcPr>
            <w:tcW w:w="974" w:type="dxa"/>
            <w:tcBorders>
              <w:top w:val="nil"/>
              <w:left w:val="single" w:sz="8" w:space="0" w:color="auto"/>
              <w:bottom w:val="single" w:sz="8" w:space="0" w:color="auto"/>
              <w:right w:val="single" w:sz="8" w:space="0" w:color="auto"/>
            </w:tcBorders>
            <w:shd w:val="clear" w:color="000000" w:fill="D9D9D9"/>
            <w:vAlign w:val="center"/>
            <w:hideMark/>
          </w:tcPr>
          <w:p>
            <w:pPr>
              <w:spacing w:before="0" w:after="0"/>
              <w:jc w:val="center"/>
              <w:rPr>
                <w:rFonts w:cs="Arial"/>
                <w:b/>
                <w:bCs/>
                <w:sz w:val="16"/>
                <w:szCs w:val="16"/>
              </w:rPr>
            </w:pPr>
            <w:r>
              <w:rPr>
                <w:rFonts w:cs="Arial"/>
                <w:b/>
                <w:bCs/>
                <w:sz w:val="16"/>
                <w:szCs w:val="16"/>
              </w:rPr>
              <w:t>Gesamt</w:t>
            </w:r>
          </w:p>
          <w:p>
            <w:pPr>
              <w:spacing w:before="0" w:after="0"/>
              <w:jc w:val="center"/>
              <w:rPr>
                <w:rFonts w:cs="Arial"/>
                <w:b/>
                <w:bCs/>
                <w:sz w:val="16"/>
                <w:szCs w:val="16"/>
              </w:rPr>
            </w:pPr>
            <w:r>
              <w:rPr>
                <w:rFonts w:cs="Arial"/>
                <w:b/>
                <w:bCs/>
                <w:sz w:val="16"/>
                <w:szCs w:val="16"/>
              </w:rPr>
              <w:t>TEUR</w:t>
            </w:r>
          </w:p>
        </w:tc>
        <w:tc>
          <w:tcPr>
            <w:tcW w:w="990" w:type="dxa"/>
            <w:tcBorders>
              <w:top w:val="nil"/>
              <w:left w:val="nil"/>
              <w:bottom w:val="single" w:sz="8" w:space="0" w:color="auto"/>
              <w:right w:val="single" w:sz="4" w:space="0" w:color="auto"/>
            </w:tcBorders>
            <w:shd w:val="clear" w:color="000000" w:fill="D9D9D9"/>
            <w:vAlign w:val="center"/>
            <w:hideMark/>
          </w:tcPr>
          <w:p>
            <w:pPr>
              <w:spacing w:before="0" w:after="0"/>
              <w:jc w:val="center"/>
              <w:rPr>
                <w:rFonts w:cs="Arial"/>
                <w:b/>
                <w:bCs/>
                <w:sz w:val="16"/>
                <w:szCs w:val="16"/>
              </w:rPr>
            </w:pPr>
            <w:r>
              <w:rPr>
                <w:rFonts w:cs="Arial"/>
                <w:b/>
                <w:bCs/>
                <w:sz w:val="16"/>
                <w:szCs w:val="16"/>
              </w:rPr>
              <w:t>Gesamt</w:t>
            </w:r>
          </w:p>
          <w:p>
            <w:pPr>
              <w:spacing w:before="0" w:after="0"/>
              <w:jc w:val="center"/>
              <w:rPr>
                <w:rFonts w:cs="Arial"/>
                <w:b/>
                <w:bCs/>
                <w:sz w:val="16"/>
                <w:szCs w:val="16"/>
              </w:rPr>
            </w:pPr>
            <w:r>
              <w:rPr>
                <w:rFonts w:cs="Arial"/>
                <w:b/>
                <w:bCs/>
                <w:sz w:val="16"/>
                <w:szCs w:val="16"/>
              </w:rPr>
              <w:t>TEUR</w:t>
            </w:r>
          </w:p>
        </w:tc>
        <w:tc>
          <w:tcPr>
            <w:tcW w:w="990" w:type="dxa"/>
            <w:tcBorders>
              <w:top w:val="nil"/>
              <w:left w:val="nil"/>
              <w:bottom w:val="single" w:sz="8" w:space="0" w:color="auto"/>
              <w:right w:val="single" w:sz="4" w:space="0" w:color="auto"/>
            </w:tcBorders>
            <w:shd w:val="clear" w:color="000000" w:fill="D9D9D9"/>
            <w:vAlign w:val="center"/>
            <w:hideMark/>
          </w:tcPr>
          <w:p>
            <w:pPr>
              <w:spacing w:before="0" w:after="0"/>
              <w:jc w:val="center"/>
              <w:rPr>
                <w:rFonts w:cs="Arial"/>
                <w:sz w:val="14"/>
                <w:szCs w:val="14"/>
              </w:rPr>
            </w:pPr>
            <w:r>
              <w:rPr>
                <w:rFonts w:cs="Arial"/>
                <w:sz w:val="14"/>
                <w:szCs w:val="14"/>
              </w:rPr>
              <w:t xml:space="preserve"> davon </w:t>
            </w:r>
            <w:r>
              <w:rPr>
                <w:rFonts w:cs="Arial"/>
                <w:sz w:val="14"/>
                <w:szCs w:val="14"/>
              </w:rPr>
              <w:br/>
              <w:t>KMU</w:t>
            </w:r>
          </w:p>
          <w:p>
            <w:pPr>
              <w:spacing w:before="0" w:after="0"/>
              <w:jc w:val="center"/>
              <w:rPr>
                <w:rFonts w:cs="Arial"/>
                <w:sz w:val="14"/>
                <w:szCs w:val="14"/>
              </w:rPr>
            </w:pPr>
            <w:r>
              <w:rPr>
                <w:rFonts w:cs="Arial"/>
                <w:sz w:val="14"/>
                <w:szCs w:val="14"/>
              </w:rPr>
              <w:t>TEUR</w:t>
            </w:r>
          </w:p>
        </w:tc>
        <w:tc>
          <w:tcPr>
            <w:tcW w:w="991" w:type="dxa"/>
            <w:tcBorders>
              <w:top w:val="nil"/>
              <w:left w:val="nil"/>
              <w:bottom w:val="single" w:sz="8" w:space="0" w:color="auto"/>
              <w:right w:val="single" w:sz="4" w:space="0" w:color="auto"/>
            </w:tcBorders>
            <w:shd w:val="clear" w:color="000000" w:fill="D9D9D9"/>
            <w:vAlign w:val="center"/>
            <w:hideMark/>
          </w:tcPr>
          <w:p>
            <w:pPr>
              <w:spacing w:before="0" w:after="0"/>
              <w:jc w:val="center"/>
              <w:rPr>
                <w:rFonts w:cs="Arial"/>
                <w:sz w:val="14"/>
                <w:szCs w:val="14"/>
              </w:rPr>
            </w:pPr>
            <w:r>
              <w:rPr>
                <w:rFonts w:cs="Arial"/>
                <w:sz w:val="14"/>
                <w:szCs w:val="14"/>
              </w:rPr>
              <w:t xml:space="preserve">davon </w:t>
            </w:r>
            <w:r>
              <w:rPr>
                <w:rFonts w:cs="Arial"/>
                <w:sz w:val="14"/>
                <w:szCs w:val="14"/>
              </w:rPr>
              <w:br/>
              <w:t>Land- und Forstwirtschaft</w:t>
            </w:r>
          </w:p>
          <w:p>
            <w:pPr>
              <w:spacing w:before="0" w:after="0"/>
              <w:jc w:val="center"/>
              <w:rPr>
                <w:rFonts w:cs="Arial"/>
                <w:sz w:val="14"/>
                <w:szCs w:val="14"/>
              </w:rPr>
            </w:pPr>
            <w:r>
              <w:rPr>
                <w:rFonts w:cs="Arial"/>
                <w:sz w:val="14"/>
                <w:szCs w:val="14"/>
              </w:rPr>
              <w:t>TEUR</w:t>
            </w:r>
          </w:p>
        </w:tc>
        <w:tc>
          <w:tcPr>
            <w:tcW w:w="990" w:type="dxa"/>
            <w:tcBorders>
              <w:top w:val="nil"/>
              <w:left w:val="nil"/>
              <w:bottom w:val="single" w:sz="8" w:space="0" w:color="auto"/>
              <w:right w:val="single" w:sz="4" w:space="0" w:color="auto"/>
            </w:tcBorders>
            <w:shd w:val="clear" w:color="000000" w:fill="D9D9D9"/>
            <w:vAlign w:val="center"/>
            <w:hideMark/>
          </w:tcPr>
          <w:p>
            <w:pPr>
              <w:spacing w:before="0" w:after="0"/>
              <w:jc w:val="center"/>
              <w:rPr>
                <w:rFonts w:cs="Arial"/>
                <w:sz w:val="14"/>
                <w:szCs w:val="14"/>
              </w:rPr>
            </w:pPr>
            <w:r>
              <w:rPr>
                <w:rFonts w:cs="Arial"/>
                <w:sz w:val="14"/>
                <w:szCs w:val="14"/>
              </w:rPr>
              <w:t>davon Erbringung von Finanzdienst-leistungen</w:t>
            </w:r>
          </w:p>
          <w:p>
            <w:pPr>
              <w:spacing w:before="0" w:after="0"/>
              <w:jc w:val="center"/>
              <w:rPr>
                <w:rFonts w:cs="Arial"/>
                <w:sz w:val="14"/>
                <w:szCs w:val="14"/>
              </w:rPr>
            </w:pPr>
            <w:r>
              <w:rPr>
                <w:rFonts w:cs="Arial"/>
                <w:sz w:val="14"/>
                <w:szCs w:val="14"/>
              </w:rPr>
              <w:t>TEUR</w:t>
            </w:r>
          </w:p>
        </w:tc>
        <w:tc>
          <w:tcPr>
            <w:tcW w:w="990" w:type="dxa"/>
            <w:tcBorders>
              <w:top w:val="nil"/>
              <w:left w:val="nil"/>
              <w:bottom w:val="single" w:sz="8" w:space="0" w:color="auto"/>
              <w:right w:val="single" w:sz="4" w:space="0" w:color="auto"/>
            </w:tcBorders>
            <w:shd w:val="clear" w:color="000000" w:fill="D9D9D9"/>
            <w:vAlign w:val="center"/>
          </w:tcPr>
          <w:p>
            <w:pPr>
              <w:spacing w:before="0" w:after="0"/>
              <w:jc w:val="center"/>
              <w:rPr>
                <w:rFonts w:cs="Arial"/>
                <w:sz w:val="14"/>
                <w:szCs w:val="14"/>
              </w:rPr>
            </w:pPr>
            <w:r>
              <w:rPr>
                <w:rFonts w:cs="Arial"/>
                <w:sz w:val="14"/>
                <w:szCs w:val="14"/>
              </w:rPr>
              <w:t>davon Grundstücks- u. Wohnungswesen</w:t>
            </w:r>
          </w:p>
        </w:tc>
        <w:tc>
          <w:tcPr>
            <w:tcW w:w="1025" w:type="dxa"/>
            <w:tcBorders>
              <w:top w:val="nil"/>
              <w:left w:val="nil"/>
              <w:bottom w:val="single" w:sz="8" w:space="0" w:color="auto"/>
              <w:right w:val="single" w:sz="4" w:space="0" w:color="auto"/>
            </w:tcBorders>
            <w:shd w:val="clear" w:color="000000" w:fill="D9D9D9"/>
            <w:vAlign w:val="center"/>
          </w:tcPr>
          <w:p>
            <w:pPr>
              <w:spacing w:before="0" w:after="0"/>
              <w:jc w:val="center"/>
              <w:rPr>
                <w:rFonts w:cs="Arial"/>
                <w:sz w:val="14"/>
                <w:szCs w:val="14"/>
              </w:rPr>
            </w:pPr>
            <w:r>
              <w:rPr>
                <w:rFonts w:cs="Arial"/>
                <w:sz w:val="14"/>
                <w:szCs w:val="14"/>
              </w:rPr>
              <w:t>davon Baugewerbe</w:t>
            </w:r>
          </w:p>
        </w:tc>
      </w:tr>
      <w:tr>
        <w:trPr>
          <w:trHeight w:val="312"/>
        </w:trPr>
        <w:tc>
          <w:tcPr>
            <w:tcW w:w="2194" w:type="dxa"/>
            <w:tcBorders>
              <w:top w:val="single" w:sz="8" w:space="0" w:color="auto"/>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6"/>
                <w:szCs w:val="16"/>
              </w:rPr>
            </w:pPr>
            <w:r>
              <w:rPr>
                <w:rFonts w:cs="Arial"/>
                <w:color w:val="000000"/>
                <w:sz w:val="16"/>
                <w:szCs w:val="16"/>
              </w:rPr>
              <w:t>Staaten oder Zentralbanken</w:t>
            </w:r>
          </w:p>
        </w:tc>
        <w:tc>
          <w:tcPr>
            <w:tcW w:w="974" w:type="dxa"/>
            <w:tcBorders>
              <w:top w:val="single" w:sz="8" w:space="0" w:color="auto"/>
              <w:left w:val="nil"/>
              <w:bottom w:val="single" w:sz="4" w:space="0" w:color="auto"/>
              <w:right w:val="single" w:sz="8" w:space="0" w:color="auto"/>
            </w:tcBorders>
            <w:shd w:val="clear" w:color="auto" w:fill="auto"/>
            <w:noWrap/>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single" w:sz="8" w:space="0" w:color="auto"/>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60.923</w:t>
            </w:r>
          </w:p>
        </w:tc>
        <w:tc>
          <w:tcPr>
            <w:tcW w:w="990" w:type="dxa"/>
            <w:tcBorders>
              <w:top w:val="single" w:sz="8" w:space="0" w:color="auto"/>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1" w:type="dxa"/>
            <w:tcBorders>
              <w:top w:val="single" w:sz="8" w:space="0" w:color="auto"/>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sz w:val="18"/>
                <w:szCs w:val="18"/>
              </w:rPr>
              <w:t>0</w:t>
            </w:r>
          </w:p>
        </w:tc>
        <w:tc>
          <w:tcPr>
            <w:tcW w:w="990" w:type="dxa"/>
            <w:tcBorders>
              <w:top w:val="single" w:sz="8" w:space="0" w:color="auto"/>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39.180</w:t>
            </w:r>
          </w:p>
        </w:tc>
        <w:tc>
          <w:tcPr>
            <w:tcW w:w="990" w:type="dxa"/>
            <w:tcBorders>
              <w:top w:val="single" w:sz="8" w:space="0" w:color="auto"/>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c>
          <w:tcPr>
            <w:tcW w:w="1025" w:type="dxa"/>
            <w:tcBorders>
              <w:top w:val="single" w:sz="8" w:space="0" w:color="auto"/>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r>
      <w:tr>
        <w:trPr>
          <w:trHeight w:val="540"/>
        </w:trPr>
        <w:tc>
          <w:tcPr>
            <w:tcW w:w="2194"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6"/>
                <w:szCs w:val="16"/>
              </w:rPr>
            </w:pPr>
            <w:r>
              <w:rPr>
                <w:rFonts w:cs="Arial"/>
                <w:color w:val="000000"/>
                <w:sz w:val="16"/>
                <w:szCs w:val="16"/>
              </w:rPr>
              <w:t>Regionale oder lokale Gebietskörperschaften</w:t>
            </w:r>
          </w:p>
        </w:tc>
        <w:tc>
          <w:tcPr>
            <w:tcW w:w="974" w:type="dxa"/>
            <w:tcBorders>
              <w:top w:val="nil"/>
              <w:left w:val="nil"/>
              <w:bottom w:val="single" w:sz="4" w:space="0" w:color="auto"/>
              <w:right w:val="single" w:sz="8" w:space="0" w:color="auto"/>
            </w:tcBorders>
            <w:shd w:val="clear" w:color="auto" w:fill="auto"/>
            <w:noWrap/>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6.16</w:t>
            </w:r>
            <w:r>
              <w:rPr>
                <w:rFonts w:cs="Arial"/>
                <w:sz w:val="16"/>
                <w:szCs w:val="16"/>
              </w:rPr>
              <w:t>4</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1"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sz w:val="18"/>
                <w:szCs w:val="18"/>
              </w:rPr>
              <w:t>0</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6"/>
                <w:szCs w:val="16"/>
              </w:rPr>
            </w:pPr>
            <w:r>
              <w:rPr>
                <w:rFonts w:cs="Arial"/>
                <w:color w:val="000000"/>
                <w:sz w:val="16"/>
                <w:szCs w:val="16"/>
              </w:rPr>
              <w:t>Öffentliche Stellen</w:t>
            </w:r>
          </w:p>
        </w:tc>
        <w:tc>
          <w:tcPr>
            <w:tcW w:w="974" w:type="dxa"/>
            <w:tcBorders>
              <w:top w:val="nil"/>
              <w:left w:val="nil"/>
              <w:bottom w:val="single" w:sz="4" w:space="0" w:color="auto"/>
              <w:right w:val="single" w:sz="8" w:space="0" w:color="auto"/>
            </w:tcBorders>
            <w:shd w:val="clear" w:color="auto" w:fill="auto"/>
            <w:noWrap/>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4.472</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1"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4.427</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tcPr>
          <w:p>
            <w:pPr>
              <w:spacing w:before="0" w:after="0"/>
              <w:jc w:val="left"/>
              <w:rPr>
                <w:rFonts w:cs="Arial"/>
                <w:color w:val="000000"/>
                <w:sz w:val="16"/>
                <w:szCs w:val="16"/>
              </w:rPr>
            </w:pPr>
            <w:r>
              <w:rPr>
                <w:rFonts w:cs="Arial"/>
                <w:color w:val="000000"/>
                <w:sz w:val="16"/>
                <w:szCs w:val="16"/>
              </w:rPr>
              <w:t>Multilaterale Entwicklungsbanken</w:t>
            </w:r>
          </w:p>
        </w:tc>
        <w:tc>
          <w:tcPr>
            <w:tcW w:w="974" w:type="dxa"/>
            <w:tcBorders>
              <w:top w:val="nil"/>
              <w:left w:val="nil"/>
              <w:bottom w:val="single" w:sz="4" w:space="0" w:color="auto"/>
              <w:right w:val="single" w:sz="8" w:space="0" w:color="auto"/>
            </w:tcBorders>
            <w:shd w:val="clear" w:color="auto" w:fill="auto"/>
            <w:noWrap/>
            <w:vAlign w:val="center"/>
          </w:tcPr>
          <w:p>
            <w:pPr>
              <w:ind w:right="170"/>
              <w:jc w:val="right"/>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ind w:right="170"/>
              <w:jc w:val="right"/>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ind w:right="170"/>
              <w:jc w:val="right"/>
            </w:pPr>
            <w:r>
              <w:rPr>
                <w:rFonts w:cs="Arial"/>
                <w:color w:val="000000"/>
                <w:sz w:val="16"/>
                <w:szCs w:val="16"/>
              </w:rPr>
              <w:t>0</w:t>
            </w:r>
          </w:p>
        </w:tc>
        <w:tc>
          <w:tcPr>
            <w:tcW w:w="991" w:type="dxa"/>
            <w:tcBorders>
              <w:top w:val="nil"/>
              <w:left w:val="nil"/>
              <w:bottom w:val="single" w:sz="4" w:space="0" w:color="auto"/>
              <w:right w:val="single" w:sz="4" w:space="0" w:color="auto"/>
            </w:tcBorders>
            <w:shd w:val="clear" w:color="auto" w:fill="auto"/>
            <w:vAlign w:val="center"/>
          </w:tcPr>
          <w:p>
            <w:pPr>
              <w:ind w:right="170"/>
              <w:jc w:val="right"/>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ind w:right="170"/>
              <w:jc w:val="right"/>
            </w:pPr>
            <w:r>
              <w:rPr>
                <w:rFonts w:cs="Arial"/>
                <w:color w:val="000000"/>
                <w:sz w:val="16"/>
                <w:szCs w:val="16"/>
              </w:rPr>
              <w:t>0</w:t>
            </w:r>
          </w:p>
        </w:tc>
        <w:tc>
          <w:tcPr>
            <w:tcW w:w="990" w:type="dxa"/>
            <w:tcBorders>
              <w:top w:val="nil"/>
              <w:left w:val="nil"/>
              <w:bottom w:val="single" w:sz="4" w:space="0" w:color="auto"/>
              <w:right w:val="single" w:sz="4" w:space="0" w:color="auto"/>
            </w:tcBorders>
            <w:vAlign w:val="center"/>
          </w:tcPr>
          <w:p>
            <w:pPr>
              <w:ind w:right="170"/>
              <w:jc w:val="right"/>
            </w:pPr>
            <w:r>
              <w:rPr>
                <w:rFonts w:cs="Arial"/>
                <w:color w:val="000000"/>
                <w:sz w:val="16"/>
                <w:szCs w:val="16"/>
              </w:rPr>
              <w:t>0</w:t>
            </w:r>
          </w:p>
        </w:tc>
        <w:tc>
          <w:tcPr>
            <w:tcW w:w="1025" w:type="dxa"/>
            <w:tcBorders>
              <w:top w:val="nil"/>
              <w:left w:val="nil"/>
              <w:bottom w:val="single" w:sz="4" w:space="0" w:color="auto"/>
              <w:right w:val="single" w:sz="4" w:space="0" w:color="auto"/>
            </w:tcBorders>
            <w:vAlign w:val="center"/>
          </w:tcPr>
          <w:p>
            <w:pPr>
              <w:ind w:right="170"/>
              <w:jc w:val="right"/>
            </w:pPr>
            <w:r>
              <w:rPr>
                <w:rFonts w:cs="Arial"/>
                <w:color w:val="000000"/>
                <w:sz w:val="16"/>
                <w:szCs w:val="16"/>
              </w:rPr>
              <w:t>0</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tcPr>
          <w:p>
            <w:pPr>
              <w:spacing w:before="0" w:after="0"/>
              <w:jc w:val="left"/>
              <w:rPr>
                <w:rFonts w:cs="Arial"/>
                <w:color w:val="000000"/>
                <w:sz w:val="16"/>
                <w:szCs w:val="16"/>
              </w:rPr>
            </w:pPr>
            <w:r>
              <w:rPr>
                <w:rFonts w:cs="Arial"/>
                <w:color w:val="000000"/>
                <w:sz w:val="16"/>
                <w:szCs w:val="16"/>
              </w:rPr>
              <w:t>Internationale Organisationen</w:t>
            </w:r>
          </w:p>
        </w:tc>
        <w:tc>
          <w:tcPr>
            <w:tcW w:w="974" w:type="dxa"/>
            <w:tcBorders>
              <w:top w:val="nil"/>
              <w:left w:val="nil"/>
              <w:bottom w:val="single" w:sz="4" w:space="0" w:color="auto"/>
              <w:right w:val="single" w:sz="8" w:space="0" w:color="auto"/>
            </w:tcBorders>
            <w:shd w:val="clear" w:color="auto" w:fill="auto"/>
            <w:noWrap/>
            <w:vAlign w:val="center"/>
          </w:tcPr>
          <w:p>
            <w:pPr>
              <w:ind w:right="170"/>
              <w:jc w:val="right"/>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ind w:right="170"/>
              <w:jc w:val="right"/>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ind w:right="170"/>
              <w:jc w:val="right"/>
            </w:pPr>
            <w:r>
              <w:rPr>
                <w:rFonts w:cs="Arial"/>
                <w:color w:val="000000"/>
                <w:sz w:val="16"/>
                <w:szCs w:val="16"/>
              </w:rPr>
              <w:t>0</w:t>
            </w:r>
          </w:p>
        </w:tc>
        <w:tc>
          <w:tcPr>
            <w:tcW w:w="991" w:type="dxa"/>
            <w:tcBorders>
              <w:top w:val="nil"/>
              <w:left w:val="nil"/>
              <w:bottom w:val="single" w:sz="4" w:space="0" w:color="auto"/>
              <w:right w:val="single" w:sz="4" w:space="0" w:color="auto"/>
            </w:tcBorders>
            <w:shd w:val="clear" w:color="auto" w:fill="auto"/>
            <w:vAlign w:val="center"/>
          </w:tcPr>
          <w:p>
            <w:pPr>
              <w:ind w:right="170"/>
              <w:jc w:val="right"/>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ind w:right="170"/>
              <w:jc w:val="right"/>
            </w:pPr>
            <w:r>
              <w:rPr>
                <w:rFonts w:cs="Arial"/>
                <w:color w:val="000000"/>
                <w:sz w:val="16"/>
                <w:szCs w:val="16"/>
              </w:rPr>
              <w:t>0</w:t>
            </w:r>
          </w:p>
        </w:tc>
        <w:tc>
          <w:tcPr>
            <w:tcW w:w="990" w:type="dxa"/>
            <w:tcBorders>
              <w:top w:val="nil"/>
              <w:left w:val="nil"/>
              <w:bottom w:val="single" w:sz="4" w:space="0" w:color="auto"/>
              <w:right w:val="single" w:sz="4" w:space="0" w:color="auto"/>
            </w:tcBorders>
            <w:vAlign w:val="center"/>
          </w:tcPr>
          <w:p>
            <w:pPr>
              <w:ind w:right="170"/>
              <w:jc w:val="right"/>
            </w:pPr>
            <w:r>
              <w:rPr>
                <w:rFonts w:cs="Arial"/>
                <w:color w:val="000000"/>
                <w:sz w:val="16"/>
                <w:szCs w:val="16"/>
              </w:rPr>
              <w:t>0</w:t>
            </w:r>
          </w:p>
        </w:tc>
        <w:tc>
          <w:tcPr>
            <w:tcW w:w="1025" w:type="dxa"/>
            <w:tcBorders>
              <w:top w:val="nil"/>
              <w:left w:val="nil"/>
              <w:bottom w:val="single" w:sz="4" w:space="0" w:color="auto"/>
              <w:right w:val="single" w:sz="4" w:space="0" w:color="auto"/>
            </w:tcBorders>
            <w:vAlign w:val="center"/>
          </w:tcPr>
          <w:p>
            <w:pPr>
              <w:ind w:right="170"/>
              <w:jc w:val="right"/>
            </w:pPr>
            <w:r>
              <w:rPr>
                <w:rFonts w:cs="Arial"/>
                <w:color w:val="000000"/>
                <w:sz w:val="16"/>
                <w:szCs w:val="16"/>
              </w:rPr>
              <w:t>0</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6"/>
                <w:szCs w:val="16"/>
              </w:rPr>
            </w:pPr>
            <w:r>
              <w:rPr>
                <w:rFonts w:cs="Arial"/>
                <w:color w:val="000000"/>
                <w:sz w:val="16"/>
                <w:szCs w:val="16"/>
              </w:rPr>
              <w:t>Institute</w:t>
            </w:r>
          </w:p>
        </w:tc>
        <w:tc>
          <w:tcPr>
            <w:tcW w:w="974" w:type="dxa"/>
            <w:tcBorders>
              <w:top w:val="nil"/>
              <w:left w:val="nil"/>
              <w:bottom w:val="single" w:sz="4" w:space="0" w:color="auto"/>
              <w:right w:val="single" w:sz="8" w:space="0" w:color="auto"/>
            </w:tcBorders>
            <w:shd w:val="clear" w:color="auto" w:fill="auto"/>
            <w:noWrap/>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20.226</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1"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20.226</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6"/>
                <w:szCs w:val="16"/>
              </w:rPr>
            </w:pPr>
            <w:r>
              <w:rPr>
                <w:rFonts w:cs="Arial"/>
                <w:color w:val="000000"/>
                <w:sz w:val="16"/>
                <w:szCs w:val="16"/>
              </w:rPr>
              <w:t>Unternehmen</w:t>
            </w:r>
          </w:p>
        </w:tc>
        <w:tc>
          <w:tcPr>
            <w:tcW w:w="974" w:type="dxa"/>
            <w:tcBorders>
              <w:top w:val="nil"/>
              <w:left w:val="nil"/>
              <w:bottom w:val="single" w:sz="4" w:space="0" w:color="auto"/>
              <w:right w:val="single" w:sz="8" w:space="0" w:color="auto"/>
            </w:tcBorders>
            <w:shd w:val="clear" w:color="auto" w:fill="auto"/>
            <w:noWrap/>
            <w:vAlign w:val="center"/>
            <w:hideMark/>
          </w:tcPr>
          <w:p>
            <w:pPr>
              <w:spacing w:before="0" w:after="0"/>
              <w:ind w:right="170"/>
              <w:jc w:val="right"/>
              <w:rPr>
                <w:rFonts w:cs="Arial"/>
                <w:color w:val="000000"/>
                <w:sz w:val="16"/>
                <w:szCs w:val="16"/>
              </w:rPr>
            </w:pPr>
            <w:r>
              <w:rPr>
                <w:rFonts w:cs="Arial"/>
                <w:color w:val="000000"/>
                <w:sz w:val="16"/>
                <w:szCs w:val="16"/>
              </w:rPr>
              <w:t>32.001</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230.947</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165.618</w:t>
            </w:r>
          </w:p>
        </w:tc>
        <w:tc>
          <w:tcPr>
            <w:tcW w:w="991"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14.572</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14.332</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73.809</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38.326</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6"/>
                <w:szCs w:val="16"/>
              </w:rPr>
            </w:pPr>
            <w:r>
              <w:rPr>
                <w:rFonts w:cs="Arial"/>
                <w:color w:val="000000"/>
                <w:sz w:val="16"/>
                <w:szCs w:val="16"/>
              </w:rPr>
              <w:t>Mengengeschäft</w:t>
            </w:r>
          </w:p>
        </w:tc>
        <w:tc>
          <w:tcPr>
            <w:tcW w:w="974" w:type="dxa"/>
            <w:tcBorders>
              <w:top w:val="nil"/>
              <w:left w:val="nil"/>
              <w:bottom w:val="single" w:sz="4" w:space="0" w:color="auto"/>
              <w:right w:val="single" w:sz="8" w:space="0" w:color="auto"/>
            </w:tcBorders>
            <w:shd w:val="clear" w:color="auto" w:fill="auto"/>
            <w:noWrap/>
            <w:vAlign w:val="center"/>
            <w:hideMark/>
          </w:tcPr>
          <w:p>
            <w:pPr>
              <w:spacing w:before="0" w:after="0"/>
              <w:ind w:right="170"/>
              <w:jc w:val="right"/>
              <w:rPr>
                <w:rFonts w:cs="Arial"/>
                <w:color w:val="000000"/>
                <w:sz w:val="16"/>
                <w:szCs w:val="16"/>
              </w:rPr>
            </w:pPr>
            <w:r>
              <w:rPr>
                <w:rFonts w:cs="Arial"/>
                <w:color w:val="000000"/>
                <w:sz w:val="16"/>
                <w:szCs w:val="16"/>
              </w:rPr>
              <w:t>118.696</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38.237</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38.237</w:t>
            </w:r>
          </w:p>
        </w:tc>
        <w:tc>
          <w:tcPr>
            <w:tcW w:w="991"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2.950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256</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5.149</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5.569</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6"/>
                <w:szCs w:val="16"/>
              </w:rPr>
            </w:pPr>
            <w:r>
              <w:rPr>
                <w:rFonts w:cs="Arial"/>
                <w:color w:val="000000"/>
                <w:sz w:val="16"/>
                <w:szCs w:val="16"/>
              </w:rPr>
              <w:t>Durch Immobilien besichert</w:t>
            </w:r>
          </w:p>
        </w:tc>
        <w:tc>
          <w:tcPr>
            <w:tcW w:w="974" w:type="dxa"/>
            <w:tcBorders>
              <w:top w:val="nil"/>
              <w:left w:val="nil"/>
              <w:bottom w:val="single" w:sz="4" w:space="0" w:color="auto"/>
              <w:right w:val="single" w:sz="8" w:space="0" w:color="auto"/>
            </w:tcBorders>
            <w:shd w:val="clear" w:color="auto" w:fill="auto"/>
            <w:noWrap/>
            <w:vAlign w:val="center"/>
            <w:hideMark/>
          </w:tcPr>
          <w:p>
            <w:pPr>
              <w:spacing w:before="0" w:after="0"/>
              <w:ind w:right="170"/>
              <w:jc w:val="right"/>
              <w:rPr>
                <w:rFonts w:cs="Arial"/>
                <w:color w:val="000000"/>
                <w:sz w:val="16"/>
                <w:szCs w:val="16"/>
              </w:rPr>
            </w:pPr>
            <w:r>
              <w:rPr>
                <w:rFonts w:cs="Arial"/>
                <w:color w:val="000000"/>
                <w:sz w:val="16"/>
                <w:szCs w:val="16"/>
              </w:rPr>
              <w:t>101.042</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154.686</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highlight w:val="red"/>
              </w:rPr>
            </w:pPr>
            <w:r>
              <w:rPr>
                <w:rFonts w:cs="Arial"/>
                <w:color w:val="000000"/>
                <w:sz w:val="16"/>
                <w:szCs w:val="16"/>
              </w:rPr>
              <w:t>154.686</w:t>
            </w:r>
          </w:p>
        </w:tc>
        <w:tc>
          <w:tcPr>
            <w:tcW w:w="991"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45.139</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176</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53.421</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21.432</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6"/>
                <w:szCs w:val="16"/>
              </w:rPr>
            </w:pPr>
            <w:r>
              <w:rPr>
                <w:rFonts w:cs="Arial"/>
                <w:color w:val="000000"/>
                <w:sz w:val="16"/>
                <w:szCs w:val="16"/>
              </w:rPr>
              <w:t>Ausgefallene Positionen</w:t>
            </w:r>
          </w:p>
        </w:tc>
        <w:tc>
          <w:tcPr>
            <w:tcW w:w="974" w:type="dxa"/>
            <w:tcBorders>
              <w:top w:val="nil"/>
              <w:left w:val="nil"/>
              <w:bottom w:val="single" w:sz="4" w:space="0" w:color="auto"/>
              <w:right w:val="single" w:sz="8" w:space="0" w:color="auto"/>
            </w:tcBorders>
            <w:shd w:val="clear" w:color="auto" w:fill="auto"/>
            <w:noWrap/>
            <w:vAlign w:val="center"/>
            <w:hideMark/>
          </w:tcPr>
          <w:p>
            <w:pPr>
              <w:spacing w:before="0" w:after="0"/>
              <w:ind w:right="170"/>
              <w:jc w:val="right"/>
              <w:rPr>
                <w:rFonts w:cs="Arial"/>
                <w:color w:val="000000"/>
                <w:sz w:val="16"/>
                <w:szCs w:val="16"/>
              </w:rPr>
            </w:pPr>
            <w:r>
              <w:rPr>
                <w:rFonts w:cs="Arial"/>
                <w:color w:val="000000"/>
                <w:sz w:val="16"/>
                <w:szCs w:val="16"/>
              </w:rPr>
              <w:t>886</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796</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796</w:t>
            </w:r>
          </w:p>
        </w:tc>
        <w:tc>
          <w:tcPr>
            <w:tcW w:w="991"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18</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530</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31</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tcPr>
          <w:p>
            <w:pPr>
              <w:spacing w:before="0" w:after="0"/>
              <w:jc w:val="left"/>
              <w:rPr>
                <w:rFonts w:cs="Arial"/>
                <w:color w:val="000000"/>
                <w:sz w:val="16"/>
                <w:szCs w:val="16"/>
              </w:rPr>
            </w:pPr>
            <w:r>
              <w:rPr>
                <w:rFonts w:cs="Arial"/>
                <w:color w:val="000000"/>
                <w:sz w:val="16"/>
                <w:szCs w:val="16"/>
              </w:rPr>
              <w:t>Mit besonders hohem Risiko verbundene Positionen</w:t>
            </w:r>
          </w:p>
        </w:tc>
        <w:tc>
          <w:tcPr>
            <w:tcW w:w="974" w:type="dxa"/>
            <w:tcBorders>
              <w:top w:val="nil"/>
              <w:left w:val="nil"/>
              <w:bottom w:val="single" w:sz="4" w:space="0" w:color="auto"/>
              <w:right w:val="single" w:sz="8" w:space="0" w:color="auto"/>
            </w:tcBorders>
            <w:shd w:val="clear" w:color="auto" w:fill="auto"/>
            <w:noWrap/>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highlight w:val="red"/>
              </w:rPr>
            </w:pPr>
            <w:r>
              <w:rPr>
                <w:rFonts w:cs="Arial"/>
                <w:color w:val="000000"/>
                <w:sz w:val="16"/>
                <w:szCs w:val="16"/>
              </w:rPr>
              <w:t>0</w:t>
            </w:r>
          </w:p>
        </w:tc>
        <w:tc>
          <w:tcPr>
            <w:tcW w:w="991"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sz w:val="18"/>
                <w:szCs w:val="18"/>
              </w:rPr>
            </w:pPr>
            <w:r>
              <w:rPr>
                <w:rFonts w:cs="Arial"/>
                <w:sz w:val="18"/>
                <w:szCs w:val="18"/>
              </w:rPr>
              <w:t>0</w:t>
            </w:r>
          </w:p>
        </w:tc>
        <w:tc>
          <w:tcPr>
            <w:tcW w:w="990"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0</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0</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6"/>
                <w:szCs w:val="16"/>
              </w:rPr>
            </w:pPr>
            <w:r>
              <w:rPr>
                <w:rFonts w:cs="Arial"/>
                <w:color w:val="000000"/>
                <w:sz w:val="16"/>
                <w:szCs w:val="16"/>
              </w:rPr>
              <w:t>Gedeckte Schuldverschreibungen</w:t>
            </w:r>
          </w:p>
        </w:tc>
        <w:tc>
          <w:tcPr>
            <w:tcW w:w="974" w:type="dxa"/>
            <w:tcBorders>
              <w:top w:val="nil"/>
              <w:left w:val="nil"/>
              <w:bottom w:val="single" w:sz="4" w:space="0" w:color="auto"/>
              <w:right w:val="single" w:sz="8" w:space="0" w:color="auto"/>
            </w:tcBorders>
            <w:shd w:val="clear" w:color="auto" w:fill="auto"/>
            <w:noWrap/>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9.257</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1"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9.257</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tcPr>
          <w:p>
            <w:pPr>
              <w:spacing w:before="0" w:after="0"/>
              <w:jc w:val="left"/>
              <w:rPr>
                <w:rFonts w:cs="Arial"/>
                <w:color w:val="000000"/>
                <w:sz w:val="16"/>
                <w:szCs w:val="16"/>
              </w:rPr>
            </w:pPr>
            <w:r>
              <w:rPr>
                <w:rFonts w:cs="Arial"/>
                <w:color w:val="000000"/>
                <w:sz w:val="16"/>
                <w:szCs w:val="16"/>
              </w:rPr>
              <w:t>Positionen gegenüber Instituten und Unternehmen mit kurzfristiger Bonitätsbeurteilung</w:t>
            </w:r>
          </w:p>
        </w:tc>
        <w:tc>
          <w:tcPr>
            <w:tcW w:w="974" w:type="dxa"/>
            <w:tcBorders>
              <w:top w:val="nil"/>
              <w:left w:val="nil"/>
              <w:bottom w:val="single" w:sz="4" w:space="0" w:color="auto"/>
              <w:right w:val="single" w:sz="8" w:space="0" w:color="auto"/>
            </w:tcBorders>
            <w:shd w:val="clear" w:color="auto" w:fill="auto"/>
            <w:noWrap/>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1"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sz w:val="18"/>
                <w:szCs w:val="18"/>
              </w:rPr>
            </w:pPr>
            <w:r>
              <w:rPr>
                <w:rFonts w:cs="Arial"/>
                <w:sz w:val="18"/>
                <w:szCs w:val="18"/>
              </w:rPr>
              <w:t>0</w:t>
            </w:r>
          </w:p>
        </w:tc>
        <w:tc>
          <w:tcPr>
            <w:tcW w:w="990"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sz w:val="18"/>
                <w:szCs w:val="18"/>
              </w:rPr>
            </w:pPr>
            <w:r>
              <w:rPr>
                <w:rFonts w:cs="Arial"/>
                <w:sz w:val="18"/>
                <w:szCs w:val="18"/>
              </w:rPr>
              <w:t>0</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sz w:val="18"/>
                <w:szCs w:val="18"/>
              </w:rPr>
            </w:pPr>
            <w:r>
              <w:rPr>
                <w:rFonts w:cs="Arial"/>
                <w:sz w:val="18"/>
                <w:szCs w:val="18"/>
              </w:rPr>
              <w:t>0</w:t>
            </w:r>
          </w:p>
        </w:tc>
      </w:tr>
      <w:tr>
        <w:trPr>
          <w:trHeight w:val="264"/>
        </w:trPr>
        <w:tc>
          <w:tcPr>
            <w:tcW w:w="2194"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6"/>
                <w:szCs w:val="16"/>
              </w:rPr>
            </w:pPr>
            <w:r>
              <w:rPr>
                <w:rFonts w:cs="Arial"/>
                <w:color w:val="000000"/>
                <w:sz w:val="16"/>
                <w:szCs w:val="16"/>
              </w:rPr>
              <w:t>Organismen für gemeinsame Anlagen (OGA)</w:t>
            </w:r>
          </w:p>
        </w:tc>
        <w:tc>
          <w:tcPr>
            <w:tcW w:w="974" w:type="dxa"/>
            <w:tcBorders>
              <w:top w:val="nil"/>
              <w:left w:val="nil"/>
              <w:bottom w:val="single" w:sz="4" w:space="0" w:color="auto"/>
              <w:right w:val="single" w:sz="8" w:space="0" w:color="auto"/>
            </w:tcBorders>
            <w:shd w:val="clear" w:color="auto" w:fill="auto"/>
            <w:noWrap/>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15.744</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1"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15.744</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6"/>
                <w:szCs w:val="16"/>
              </w:rPr>
            </w:pPr>
            <w:r>
              <w:rPr>
                <w:rFonts w:cs="Arial"/>
                <w:color w:val="000000"/>
                <w:sz w:val="16"/>
                <w:szCs w:val="16"/>
              </w:rPr>
              <w:t>Beteiligungen</w:t>
            </w:r>
          </w:p>
        </w:tc>
        <w:tc>
          <w:tcPr>
            <w:tcW w:w="974" w:type="dxa"/>
            <w:tcBorders>
              <w:top w:val="nil"/>
              <w:left w:val="nil"/>
              <w:bottom w:val="single" w:sz="4" w:space="0" w:color="auto"/>
              <w:right w:val="single" w:sz="8" w:space="0" w:color="auto"/>
            </w:tcBorders>
            <w:shd w:val="clear" w:color="auto" w:fill="auto"/>
            <w:noWrap/>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18.338</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1"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18.269</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sz w:val="18"/>
                <w:szCs w:val="18"/>
              </w:rPr>
              <w:t>0</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6"/>
                <w:szCs w:val="16"/>
              </w:rPr>
            </w:pPr>
            <w:r>
              <w:rPr>
                <w:rFonts w:cs="Arial"/>
                <w:color w:val="000000"/>
                <w:sz w:val="16"/>
                <w:szCs w:val="16"/>
              </w:rPr>
              <w:t>Sonstige Positionen</w:t>
            </w:r>
          </w:p>
        </w:tc>
        <w:tc>
          <w:tcPr>
            <w:tcW w:w="974" w:type="dxa"/>
            <w:tcBorders>
              <w:top w:val="nil"/>
              <w:left w:val="nil"/>
              <w:bottom w:val="single" w:sz="4" w:space="0" w:color="auto"/>
              <w:right w:val="single" w:sz="8" w:space="0" w:color="auto"/>
            </w:tcBorders>
            <w:shd w:val="clear" w:color="auto" w:fill="auto"/>
            <w:noWrap/>
            <w:vAlign w:val="center"/>
            <w:hideMark/>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9.192</w:t>
            </w:r>
          </w:p>
        </w:tc>
        <w:tc>
          <w:tcPr>
            <w:tcW w:w="990"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1"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hideMark/>
          </w:tcPr>
          <w:p>
            <w:pPr>
              <w:spacing w:before="0" w:after="0"/>
              <w:ind w:right="170"/>
              <w:jc w:val="right"/>
              <w:rPr>
                <w:rFonts w:cs="Arial"/>
                <w:color w:val="000000"/>
                <w:sz w:val="16"/>
                <w:szCs w:val="16"/>
              </w:rPr>
            </w:pPr>
            <w:r>
              <w:rPr>
                <w:rFonts w:cs="Arial"/>
                <w:color w:val="000000"/>
                <w:sz w:val="16"/>
                <w:szCs w:val="16"/>
              </w:rPr>
              <w:t>9.192</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0</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0</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tcPr>
          <w:p>
            <w:pPr>
              <w:spacing w:before="0" w:after="0"/>
              <w:jc w:val="left"/>
              <w:rPr>
                <w:rFonts w:cs="Arial"/>
                <w:color w:val="000000"/>
                <w:sz w:val="16"/>
                <w:szCs w:val="16"/>
              </w:rPr>
            </w:pPr>
            <w:r>
              <w:rPr>
                <w:rFonts w:cs="Arial"/>
                <w:color w:val="000000"/>
                <w:sz w:val="16"/>
                <w:szCs w:val="16"/>
              </w:rPr>
              <w:t>Verbriefungspositionen nach SA</w:t>
            </w:r>
          </w:p>
        </w:tc>
        <w:tc>
          <w:tcPr>
            <w:tcW w:w="974" w:type="dxa"/>
            <w:tcBorders>
              <w:top w:val="nil"/>
              <w:left w:val="nil"/>
              <w:bottom w:val="single" w:sz="4" w:space="0" w:color="auto"/>
              <w:right w:val="single" w:sz="8" w:space="0" w:color="auto"/>
            </w:tcBorders>
            <w:shd w:val="clear" w:color="auto" w:fill="auto"/>
            <w:noWrap/>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1"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0</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0</w:t>
            </w:r>
          </w:p>
        </w:tc>
      </w:tr>
      <w:tr>
        <w:trPr>
          <w:trHeight w:val="312"/>
        </w:trPr>
        <w:tc>
          <w:tcPr>
            <w:tcW w:w="2194" w:type="dxa"/>
            <w:tcBorders>
              <w:top w:val="nil"/>
              <w:left w:val="single" w:sz="8" w:space="0" w:color="auto"/>
              <w:bottom w:val="single" w:sz="4" w:space="0" w:color="auto"/>
              <w:right w:val="single" w:sz="8" w:space="0" w:color="auto"/>
            </w:tcBorders>
            <w:shd w:val="clear" w:color="auto" w:fill="auto"/>
            <w:vAlign w:val="center"/>
          </w:tcPr>
          <w:p>
            <w:pPr>
              <w:spacing w:before="0" w:after="0"/>
              <w:ind w:left="170"/>
              <w:jc w:val="left"/>
              <w:rPr>
                <w:rFonts w:cs="Arial"/>
                <w:color w:val="000000"/>
                <w:sz w:val="16"/>
                <w:szCs w:val="16"/>
              </w:rPr>
            </w:pPr>
            <w:r>
              <w:rPr>
                <w:rFonts w:cs="Arial"/>
                <w:color w:val="000000"/>
                <w:sz w:val="16"/>
                <w:szCs w:val="16"/>
              </w:rPr>
              <w:t xml:space="preserve">darunter: Wieder-          </w:t>
            </w:r>
            <w:proofErr w:type="spellStart"/>
            <w:r>
              <w:rPr>
                <w:rFonts w:cs="Arial"/>
                <w:color w:val="000000"/>
                <w:sz w:val="16"/>
                <w:szCs w:val="16"/>
              </w:rPr>
              <w:t>verbriefungen</w:t>
            </w:r>
            <w:proofErr w:type="spellEnd"/>
          </w:p>
        </w:tc>
        <w:tc>
          <w:tcPr>
            <w:tcW w:w="974" w:type="dxa"/>
            <w:tcBorders>
              <w:top w:val="nil"/>
              <w:left w:val="nil"/>
              <w:bottom w:val="single" w:sz="4" w:space="0" w:color="auto"/>
              <w:right w:val="single" w:sz="8" w:space="0" w:color="auto"/>
            </w:tcBorders>
            <w:shd w:val="clear" w:color="auto" w:fill="auto"/>
            <w:noWrap/>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1"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shd w:val="clear" w:color="auto" w:fill="auto"/>
            <w:vAlign w:val="center"/>
          </w:tcPr>
          <w:p>
            <w:pPr>
              <w:spacing w:before="0" w:after="0"/>
              <w:ind w:right="170"/>
              <w:jc w:val="right"/>
              <w:rPr>
                <w:rFonts w:cs="Arial"/>
                <w:color w:val="000000"/>
                <w:sz w:val="16"/>
                <w:szCs w:val="16"/>
              </w:rPr>
            </w:pPr>
            <w:r>
              <w:rPr>
                <w:rFonts w:cs="Arial"/>
                <w:color w:val="000000"/>
                <w:sz w:val="16"/>
                <w:szCs w:val="16"/>
              </w:rPr>
              <w:t>0</w:t>
            </w:r>
          </w:p>
        </w:tc>
        <w:tc>
          <w:tcPr>
            <w:tcW w:w="990"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0</w:t>
            </w:r>
          </w:p>
        </w:tc>
        <w:tc>
          <w:tcPr>
            <w:tcW w:w="1025" w:type="dxa"/>
            <w:tcBorders>
              <w:top w:val="nil"/>
              <w:left w:val="nil"/>
              <w:bottom w:val="single" w:sz="4" w:space="0" w:color="auto"/>
              <w:right w:val="single" w:sz="4" w:space="0" w:color="auto"/>
            </w:tcBorders>
            <w:vAlign w:val="center"/>
          </w:tcPr>
          <w:p>
            <w:pPr>
              <w:spacing w:before="0" w:after="0"/>
              <w:ind w:right="170"/>
              <w:jc w:val="right"/>
              <w:rPr>
                <w:rFonts w:cs="Arial"/>
                <w:color w:val="000000"/>
                <w:sz w:val="16"/>
                <w:szCs w:val="16"/>
              </w:rPr>
            </w:pPr>
            <w:r>
              <w:rPr>
                <w:rFonts w:cs="Arial"/>
                <w:color w:val="000000"/>
                <w:sz w:val="16"/>
                <w:szCs w:val="16"/>
              </w:rPr>
              <w:t>0</w:t>
            </w:r>
          </w:p>
        </w:tc>
      </w:tr>
      <w:tr>
        <w:trPr>
          <w:trHeight w:val="312"/>
        </w:trPr>
        <w:tc>
          <w:tcPr>
            <w:tcW w:w="219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b/>
                <w:bCs/>
                <w:color w:val="000000"/>
                <w:sz w:val="16"/>
                <w:szCs w:val="16"/>
              </w:rPr>
            </w:pPr>
            <w:r>
              <w:rPr>
                <w:rFonts w:cs="Arial"/>
                <w:b/>
                <w:bCs/>
                <w:color w:val="000000"/>
                <w:sz w:val="16"/>
                <w:szCs w:val="16"/>
              </w:rPr>
              <w:t>Gesamt</w:t>
            </w:r>
          </w:p>
        </w:tc>
        <w:tc>
          <w:tcPr>
            <w:tcW w:w="974"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ind w:right="170"/>
              <w:jc w:val="right"/>
              <w:rPr>
                <w:rFonts w:cs="Arial"/>
                <w:b/>
                <w:color w:val="000000"/>
                <w:sz w:val="16"/>
                <w:szCs w:val="16"/>
              </w:rPr>
            </w:pPr>
            <w:r>
              <w:rPr>
                <w:rFonts w:cs="Arial"/>
                <w:b/>
                <w:color w:val="000000"/>
                <w:sz w:val="16"/>
                <w:szCs w:val="16"/>
              </w:rPr>
              <w:t>252.625</w:t>
            </w:r>
          </w:p>
        </w:tc>
        <w:tc>
          <w:tcPr>
            <w:tcW w:w="990" w:type="dxa"/>
            <w:tcBorders>
              <w:top w:val="single" w:sz="8" w:space="0" w:color="auto"/>
              <w:left w:val="nil"/>
              <w:bottom w:val="single" w:sz="8" w:space="0" w:color="auto"/>
              <w:right w:val="single" w:sz="4" w:space="0" w:color="auto"/>
            </w:tcBorders>
            <w:shd w:val="clear" w:color="auto" w:fill="auto"/>
            <w:vAlign w:val="center"/>
            <w:hideMark/>
          </w:tcPr>
          <w:p>
            <w:pPr>
              <w:spacing w:before="0" w:after="0"/>
              <w:ind w:right="170"/>
              <w:jc w:val="right"/>
              <w:rPr>
                <w:rFonts w:cs="Arial"/>
                <w:b/>
                <w:bCs/>
                <w:color w:val="000000"/>
                <w:sz w:val="16"/>
                <w:szCs w:val="16"/>
              </w:rPr>
            </w:pPr>
            <w:r>
              <w:rPr>
                <w:rFonts w:cs="Arial"/>
                <w:b/>
                <w:bCs/>
                <w:color w:val="000000"/>
                <w:sz w:val="16"/>
                <w:szCs w:val="16"/>
              </w:rPr>
              <w:t>568.982</w:t>
            </w:r>
          </w:p>
        </w:tc>
        <w:tc>
          <w:tcPr>
            <w:tcW w:w="990" w:type="dxa"/>
            <w:tcBorders>
              <w:top w:val="single" w:sz="8" w:space="0" w:color="auto"/>
              <w:left w:val="nil"/>
              <w:bottom w:val="single" w:sz="8" w:space="0" w:color="auto"/>
              <w:right w:val="single" w:sz="4" w:space="0" w:color="auto"/>
            </w:tcBorders>
            <w:shd w:val="clear" w:color="auto" w:fill="auto"/>
            <w:vAlign w:val="center"/>
            <w:hideMark/>
          </w:tcPr>
          <w:p>
            <w:pPr>
              <w:spacing w:before="0" w:after="0"/>
              <w:ind w:right="170"/>
              <w:jc w:val="right"/>
              <w:rPr>
                <w:rFonts w:cs="Arial"/>
                <w:b/>
                <w:bCs/>
                <w:color w:val="000000"/>
                <w:sz w:val="16"/>
                <w:szCs w:val="16"/>
              </w:rPr>
            </w:pPr>
            <w:r>
              <w:rPr>
                <w:rFonts w:cs="Arial"/>
                <w:b/>
                <w:bCs/>
                <w:color w:val="000000"/>
                <w:sz w:val="16"/>
                <w:szCs w:val="16"/>
              </w:rPr>
              <w:t>359.337</w:t>
            </w:r>
          </w:p>
        </w:tc>
        <w:tc>
          <w:tcPr>
            <w:tcW w:w="991" w:type="dxa"/>
            <w:tcBorders>
              <w:top w:val="single" w:sz="8" w:space="0" w:color="auto"/>
              <w:left w:val="nil"/>
              <w:bottom w:val="single" w:sz="8" w:space="0" w:color="auto"/>
              <w:right w:val="single" w:sz="4" w:space="0" w:color="auto"/>
            </w:tcBorders>
            <w:shd w:val="clear" w:color="auto" w:fill="auto"/>
            <w:vAlign w:val="center"/>
            <w:hideMark/>
          </w:tcPr>
          <w:p>
            <w:pPr>
              <w:spacing w:before="0" w:after="0"/>
              <w:ind w:right="170"/>
              <w:jc w:val="right"/>
              <w:rPr>
                <w:rFonts w:cs="Arial"/>
                <w:b/>
                <w:color w:val="000000"/>
                <w:sz w:val="16"/>
                <w:szCs w:val="16"/>
              </w:rPr>
            </w:pPr>
            <w:r>
              <w:rPr>
                <w:rFonts w:cs="Arial"/>
                <w:b/>
                <w:color w:val="000000"/>
                <w:sz w:val="16"/>
                <w:szCs w:val="16"/>
              </w:rPr>
              <w:t>62.661</w:t>
            </w:r>
          </w:p>
        </w:tc>
        <w:tc>
          <w:tcPr>
            <w:tcW w:w="990" w:type="dxa"/>
            <w:tcBorders>
              <w:top w:val="single" w:sz="8" w:space="0" w:color="auto"/>
              <w:left w:val="nil"/>
              <w:bottom w:val="single" w:sz="8" w:space="0" w:color="auto"/>
              <w:right w:val="single" w:sz="4" w:space="0" w:color="auto"/>
            </w:tcBorders>
            <w:shd w:val="clear" w:color="auto" w:fill="auto"/>
            <w:vAlign w:val="center"/>
            <w:hideMark/>
          </w:tcPr>
          <w:p>
            <w:pPr>
              <w:spacing w:before="0" w:after="0"/>
              <w:ind w:right="170"/>
              <w:jc w:val="right"/>
              <w:rPr>
                <w:rFonts w:cs="Arial"/>
                <w:b/>
                <w:color w:val="000000"/>
                <w:sz w:val="16"/>
                <w:szCs w:val="16"/>
              </w:rPr>
            </w:pPr>
            <w:r>
              <w:rPr>
                <w:rFonts w:cs="Arial"/>
                <w:b/>
                <w:color w:val="000000"/>
                <w:sz w:val="16"/>
                <w:szCs w:val="16"/>
              </w:rPr>
              <w:t>131.077</w:t>
            </w:r>
          </w:p>
        </w:tc>
        <w:tc>
          <w:tcPr>
            <w:tcW w:w="990" w:type="dxa"/>
            <w:tcBorders>
              <w:top w:val="single" w:sz="8" w:space="0" w:color="auto"/>
              <w:left w:val="nil"/>
              <w:bottom w:val="single" w:sz="8" w:space="0" w:color="auto"/>
              <w:right w:val="single" w:sz="4" w:space="0" w:color="auto"/>
            </w:tcBorders>
            <w:vAlign w:val="center"/>
          </w:tcPr>
          <w:p>
            <w:pPr>
              <w:spacing w:before="0" w:after="0"/>
              <w:ind w:right="170"/>
              <w:jc w:val="right"/>
              <w:rPr>
                <w:rFonts w:cs="Arial"/>
                <w:b/>
                <w:color w:val="000000"/>
                <w:sz w:val="16"/>
                <w:szCs w:val="16"/>
              </w:rPr>
            </w:pPr>
            <w:r>
              <w:rPr>
                <w:rFonts w:cs="Arial"/>
                <w:b/>
                <w:color w:val="000000"/>
                <w:sz w:val="16"/>
                <w:szCs w:val="16"/>
              </w:rPr>
              <w:t>132.909</w:t>
            </w:r>
          </w:p>
        </w:tc>
        <w:tc>
          <w:tcPr>
            <w:tcW w:w="1025" w:type="dxa"/>
            <w:tcBorders>
              <w:top w:val="single" w:sz="8" w:space="0" w:color="auto"/>
              <w:left w:val="nil"/>
              <w:bottom w:val="single" w:sz="8" w:space="0" w:color="auto"/>
              <w:right w:val="single" w:sz="4" w:space="0" w:color="auto"/>
            </w:tcBorders>
            <w:vAlign w:val="center"/>
          </w:tcPr>
          <w:p>
            <w:pPr>
              <w:spacing w:before="0" w:after="0"/>
              <w:ind w:right="170"/>
              <w:jc w:val="right"/>
              <w:rPr>
                <w:rFonts w:cs="Arial"/>
                <w:b/>
                <w:color w:val="000000"/>
                <w:sz w:val="16"/>
                <w:szCs w:val="16"/>
              </w:rPr>
            </w:pPr>
            <w:r>
              <w:rPr>
                <w:rFonts w:cs="Arial"/>
                <w:b/>
                <w:color w:val="000000"/>
                <w:sz w:val="16"/>
                <w:szCs w:val="16"/>
              </w:rPr>
              <w:t>65.358</w:t>
            </w:r>
          </w:p>
        </w:tc>
      </w:tr>
    </w:tbl>
    <w:p>
      <w:pPr>
        <w:ind w:left="357" w:hanging="357"/>
        <w:contextualSpacing/>
      </w:pPr>
    </w:p>
    <w:p>
      <w:pPr>
        <w:ind w:left="357" w:hanging="357"/>
        <w:contextualSpacing/>
      </w:pPr>
      <w:r>
        <w:t xml:space="preserve">Alle hier nicht aufgeführten Branchen haben einen Anteil kleiner 10 % am Gesamtvolumen </w:t>
      </w:r>
    </w:p>
    <w:p>
      <w:pPr>
        <w:ind w:left="357" w:hanging="357"/>
        <w:contextualSpacing/>
      </w:pPr>
      <w:r>
        <w:t>der Nicht-Privatkunden.</w:t>
      </w:r>
    </w:p>
    <w:p>
      <w:pPr>
        <w:spacing w:before="0" w:after="0"/>
        <w:jc w:val="left"/>
      </w:pPr>
      <w:r>
        <w:br w:type="page"/>
      </w:r>
    </w:p>
    <w:p>
      <w:pPr>
        <w:pStyle w:val="Randziffer"/>
      </w:pPr>
      <w:r>
        <w:lastRenderedPageBreak/>
        <w:t>Risikopositionen nach Restlaufzeiten:</w:t>
      </w:r>
    </w:p>
    <w:tbl>
      <w:tblPr>
        <w:tblW w:w="8716" w:type="dxa"/>
        <w:tblInd w:w="426" w:type="dxa"/>
        <w:tblCellMar>
          <w:left w:w="70" w:type="dxa"/>
          <w:right w:w="70" w:type="dxa"/>
        </w:tblCellMar>
        <w:tblLook w:val="04A0" w:firstRow="1" w:lastRow="0" w:firstColumn="1" w:lastColumn="0" w:noHBand="0" w:noVBand="1"/>
      </w:tblPr>
      <w:tblGrid>
        <w:gridCol w:w="3139"/>
        <w:gridCol w:w="1859"/>
        <w:gridCol w:w="1859"/>
        <w:gridCol w:w="1859"/>
      </w:tblGrid>
      <w:tr>
        <w:trPr>
          <w:trHeight w:val="462"/>
        </w:trPr>
        <w:tc>
          <w:tcPr>
            <w:tcW w:w="3139" w:type="dxa"/>
            <w:tcBorders>
              <w:top w:val="nil"/>
              <w:left w:val="nil"/>
              <w:bottom w:val="single" w:sz="8" w:space="0" w:color="auto"/>
              <w:right w:val="nil"/>
            </w:tcBorders>
            <w:shd w:val="clear" w:color="000000" w:fill="FFFFFF"/>
            <w:noWrap/>
            <w:vAlign w:val="bottom"/>
            <w:hideMark/>
          </w:tcPr>
          <w:p>
            <w:pPr>
              <w:spacing w:before="0" w:after="0"/>
              <w:jc w:val="left"/>
              <w:rPr>
                <w:rFonts w:cs="Arial"/>
                <w:color w:val="000000"/>
                <w:sz w:val="20"/>
                <w:szCs w:val="20"/>
              </w:rPr>
            </w:pPr>
            <w:r>
              <w:rPr>
                <w:rFonts w:cs="Arial"/>
                <w:color w:val="000000"/>
                <w:sz w:val="20"/>
                <w:szCs w:val="20"/>
              </w:rPr>
              <w:t> </w:t>
            </w:r>
          </w:p>
        </w:tc>
        <w:tc>
          <w:tcPr>
            <w:tcW w:w="1859" w:type="dxa"/>
            <w:tcBorders>
              <w:top w:val="single" w:sz="8" w:space="0" w:color="auto"/>
              <w:left w:val="single" w:sz="8" w:space="0" w:color="auto"/>
              <w:bottom w:val="single" w:sz="8" w:space="0" w:color="auto"/>
              <w:right w:val="single" w:sz="8" w:space="0" w:color="auto"/>
            </w:tcBorders>
            <w:shd w:val="clear" w:color="auto" w:fill="00B0F0"/>
            <w:noWrap/>
            <w:vAlign w:val="center"/>
            <w:hideMark/>
          </w:tcPr>
          <w:p>
            <w:pPr>
              <w:spacing w:before="0" w:after="0"/>
              <w:jc w:val="center"/>
              <w:rPr>
                <w:rFonts w:cs="Arial"/>
                <w:b/>
                <w:bCs/>
                <w:color w:val="FFFFFF" w:themeColor="background1"/>
                <w:sz w:val="18"/>
                <w:szCs w:val="18"/>
              </w:rPr>
            </w:pPr>
            <w:r>
              <w:rPr>
                <w:rFonts w:cs="Arial"/>
                <w:b/>
                <w:bCs/>
                <w:color w:val="FFFFFF" w:themeColor="background1"/>
                <w:sz w:val="18"/>
                <w:szCs w:val="18"/>
              </w:rPr>
              <w:t>&lt; 1 Jahr</w:t>
            </w:r>
          </w:p>
          <w:p>
            <w:pPr>
              <w:spacing w:before="0" w:after="0"/>
              <w:jc w:val="center"/>
              <w:rPr>
                <w:rFonts w:cs="Arial"/>
                <w:b/>
                <w:bCs/>
                <w:color w:val="FFFFFF" w:themeColor="background1"/>
                <w:sz w:val="18"/>
                <w:szCs w:val="18"/>
              </w:rPr>
            </w:pPr>
            <w:r>
              <w:rPr>
                <w:rFonts w:cs="Arial"/>
                <w:b/>
                <w:bCs/>
                <w:color w:val="FFFFFF" w:themeColor="background1"/>
                <w:sz w:val="18"/>
                <w:szCs w:val="18"/>
              </w:rPr>
              <w:t>TEUR</w:t>
            </w:r>
          </w:p>
        </w:tc>
        <w:tc>
          <w:tcPr>
            <w:tcW w:w="1859" w:type="dxa"/>
            <w:tcBorders>
              <w:top w:val="single" w:sz="8" w:space="0" w:color="auto"/>
              <w:left w:val="nil"/>
              <w:bottom w:val="single" w:sz="8" w:space="0" w:color="auto"/>
              <w:right w:val="single" w:sz="8" w:space="0" w:color="auto"/>
            </w:tcBorders>
            <w:shd w:val="clear" w:color="auto" w:fill="00B0F0"/>
            <w:noWrap/>
            <w:vAlign w:val="center"/>
            <w:hideMark/>
          </w:tcPr>
          <w:p>
            <w:pPr>
              <w:spacing w:before="0" w:after="0"/>
              <w:jc w:val="center"/>
              <w:rPr>
                <w:rFonts w:cs="Arial"/>
                <w:b/>
                <w:bCs/>
                <w:color w:val="FFFFFF" w:themeColor="background1"/>
                <w:sz w:val="18"/>
                <w:szCs w:val="18"/>
              </w:rPr>
            </w:pPr>
            <w:r>
              <w:rPr>
                <w:rFonts w:cs="Arial"/>
                <w:b/>
                <w:bCs/>
                <w:color w:val="FFFFFF" w:themeColor="background1"/>
                <w:sz w:val="18"/>
                <w:szCs w:val="18"/>
              </w:rPr>
              <w:t>1 bis 5 Jahre</w:t>
            </w:r>
          </w:p>
          <w:p>
            <w:pPr>
              <w:spacing w:before="0" w:after="0"/>
              <w:jc w:val="center"/>
              <w:rPr>
                <w:rFonts w:cs="Arial"/>
                <w:b/>
                <w:bCs/>
                <w:color w:val="FFFFFF" w:themeColor="background1"/>
                <w:sz w:val="18"/>
                <w:szCs w:val="18"/>
              </w:rPr>
            </w:pPr>
            <w:r>
              <w:rPr>
                <w:rFonts w:cs="Arial"/>
                <w:b/>
                <w:bCs/>
                <w:color w:val="FFFFFF" w:themeColor="background1"/>
                <w:sz w:val="18"/>
                <w:szCs w:val="18"/>
              </w:rPr>
              <w:t>TEUR</w:t>
            </w:r>
          </w:p>
        </w:tc>
        <w:tc>
          <w:tcPr>
            <w:tcW w:w="1859" w:type="dxa"/>
            <w:tcBorders>
              <w:top w:val="single" w:sz="8" w:space="0" w:color="auto"/>
              <w:left w:val="nil"/>
              <w:bottom w:val="single" w:sz="8" w:space="0" w:color="auto"/>
              <w:right w:val="single" w:sz="8" w:space="0" w:color="auto"/>
            </w:tcBorders>
            <w:shd w:val="clear" w:color="auto" w:fill="00B0F0"/>
            <w:vAlign w:val="center"/>
            <w:hideMark/>
          </w:tcPr>
          <w:p>
            <w:pPr>
              <w:spacing w:before="0" w:after="0"/>
              <w:jc w:val="center"/>
              <w:rPr>
                <w:rFonts w:cs="Arial"/>
                <w:b/>
                <w:bCs/>
                <w:color w:val="FFFFFF"/>
                <w:sz w:val="18"/>
                <w:szCs w:val="18"/>
              </w:rPr>
            </w:pPr>
            <w:r>
              <w:rPr>
                <w:rFonts w:cs="Arial"/>
                <w:b/>
                <w:bCs/>
                <w:color w:val="FFFFFF"/>
                <w:sz w:val="18"/>
                <w:szCs w:val="18"/>
              </w:rPr>
              <w:t>&gt; 5 Jahre</w:t>
            </w:r>
          </w:p>
          <w:p>
            <w:pPr>
              <w:spacing w:before="0" w:after="0"/>
              <w:jc w:val="center"/>
              <w:rPr>
                <w:rFonts w:cs="Arial"/>
                <w:b/>
                <w:bCs/>
                <w:color w:val="FFFFFF" w:themeColor="background1"/>
                <w:sz w:val="18"/>
                <w:szCs w:val="18"/>
              </w:rPr>
            </w:pPr>
            <w:r>
              <w:rPr>
                <w:rFonts w:cs="Arial"/>
                <w:b/>
                <w:bCs/>
                <w:color w:val="FFFFFF"/>
                <w:sz w:val="18"/>
                <w:szCs w:val="18"/>
              </w:rPr>
              <w:t>TEUR</w:t>
            </w:r>
          </w:p>
        </w:tc>
      </w:tr>
      <w:tr>
        <w:trPr>
          <w:trHeight w:val="264"/>
        </w:trPr>
        <w:tc>
          <w:tcPr>
            <w:tcW w:w="3139" w:type="dxa"/>
            <w:tcBorders>
              <w:top w:val="single" w:sz="8" w:space="0" w:color="auto"/>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Staaten oder Zentralbanken</w:t>
            </w:r>
          </w:p>
        </w:tc>
        <w:tc>
          <w:tcPr>
            <w:tcW w:w="1859" w:type="dxa"/>
            <w:tcBorders>
              <w:top w:val="single" w:sz="8" w:space="0" w:color="auto"/>
              <w:left w:val="nil"/>
              <w:bottom w:val="single" w:sz="4" w:space="0" w:color="auto"/>
              <w:right w:val="single" w:sz="8"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39.180</w:t>
            </w:r>
          </w:p>
        </w:tc>
        <w:tc>
          <w:tcPr>
            <w:tcW w:w="1859" w:type="dxa"/>
            <w:tcBorders>
              <w:top w:val="single" w:sz="8" w:space="0" w:color="auto"/>
              <w:left w:val="nil"/>
              <w:bottom w:val="single" w:sz="4"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sz w:val="18"/>
                <w:szCs w:val="18"/>
              </w:rPr>
              <w:t>0</w:t>
            </w:r>
          </w:p>
        </w:tc>
        <w:tc>
          <w:tcPr>
            <w:tcW w:w="1859" w:type="dxa"/>
            <w:tcBorders>
              <w:top w:val="single" w:sz="8" w:space="0" w:color="auto"/>
              <w:left w:val="single" w:sz="8" w:space="0" w:color="auto"/>
              <w:bottom w:val="single" w:sz="4"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21.743</w:t>
            </w:r>
          </w:p>
        </w:tc>
      </w:tr>
      <w:tr>
        <w:trPr>
          <w:trHeight w:val="456"/>
        </w:trPr>
        <w:tc>
          <w:tcPr>
            <w:tcW w:w="3139"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Regionale oder lokale Gebietskörperschaften</w:t>
            </w:r>
          </w:p>
        </w:tc>
        <w:tc>
          <w:tcPr>
            <w:tcW w:w="1859" w:type="dxa"/>
            <w:tcBorders>
              <w:top w:val="nil"/>
              <w:left w:val="nil"/>
              <w:bottom w:val="single" w:sz="4" w:space="0" w:color="auto"/>
              <w:right w:val="single" w:sz="8" w:space="0" w:color="auto"/>
            </w:tcBorders>
            <w:shd w:val="clear" w:color="auto" w:fill="auto"/>
            <w:vAlign w:val="center"/>
          </w:tcPr>
          <w:p>
            <w:pPr>
              <w:spacing w:before="0" w:after="0"/>
              <w:ind w:right="255"/>
              <w:jc w:val="right"/>
              <w:rPr>
                <w:rFonts w:cs="Arial"/>
                <w:color w:val="000000"/>
                <w:sz w:val="18"/>
                <w:szCs w:val="18"/>
              </w:rPr>
            </w:pPr>
            <w:r>
              <w:rPr>
                <w:rFonts w:cs="Arial"/>
                <w:sz w:val="18"/>
                <w:szCs w:val="18"/>
              </w:rPr>
              <w:t>0</w:t>
            </w:r>
          </w:p>
        </w:tc>
        <w:tc>
          <w:tcPr>
            <w:tcW w:w="1859" w:type="dxa"/>
            <w:tcBorders>
              <w:top w:val="nil"/>
              <w:left w:val="nil"/>
              <w:bottom w:val="single" w:sz="4"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2.573</w:t>
            </w:r>
          </w:p>
        </w:tc>
        <w:tc>
          <w:tcPr>
            <w:tcW w:w="1859" w:type="dxa"/>
            <w:tcBorders>
              <w:top w:val="nil"/>
              <w:left w:val="single" w:sz="8" w:space="0" w:color="auto"/>
              <w:bottom w:val="single" w:sz="4"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3.591</w:t>
            </w:r>
          </w:p>
        </w:tc>
      </w:tr>
      <w:tr>
        <w:trPr>
          <w:trHeight w:val="264"/>
        </w:trPr>
        <w:tc>
          <w:tcPr>
            <w:tcW w:w="3139"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Öffentliche Stellen</w:t>
            </w:r>
          </w:p>
        </w:tc>
        <w:tc>
          <w:tcPr>
            <w:tcW w:w="1859" w:type="dxa"/>
            <w:tcBorders>
              <w:top w:val="nil"/>
              <w:left w:val="nil"/>
              <w:bottom w:val="single" w:sz="4" w:space="0" w:color="auto"/>
              <w:right w:val="single" w:sz="8"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5</w:t>
            </w:r>
          </w:p>
        </w:tc>
        <w:tc>
          <w:tcPr>
            <w:tcW w:w="1859" w:type="dxa"/>
            <w:tcBorders>
              <w:top w:val="nil"/>
              <w:left w:val="nil"/>
              <w:bottom w:val="single" w:sz="4"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sz w:val="18"/>
                <w:szCs w:val="18"/>
              </w:rPr>
              <w:t>0</w:t>
            </w:r>
          </w:p>
        </w:tc>
        <w:tc>
          <w:tcPr>
            <w:tcW w:w="1859" w:type="dxa"/>
            <w:tcBorders>
              <w:top w:val="nil"/>
              <w:left w:val="single" w:sz="8" w:space="0" w:color="auto"/>
              <w:bottom w:val="single" w:sz="4"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4.467</w:t>
            </w:r>
          </w:p>
        </w:tc>
      </w:tr>
      <w:tr>
        <w:trPr>
          <w:trHeight w:val="264"/>
        </w:trPr>
        <w:tc>
          <w:tcPr>
            <w:tcW w:w="3139"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Institute</w:t>
            </w:r>
          </w:p>
        </w:tc>
        <w:tc>
          <w:tcPr>
            <w:tcW w:w="1859" w:type="dxa"/>
            <w:tcBorders>
              <w:top w:val="nil"/>
              <w:left w:val="nil"/>
              <w:bottom w:val="single" w:sz="4" w:space="0" w:color="auto"/>
              <w:right w:val="single" w:sz="8"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2.425</w:t>
            </w:r>
          </w:p>
        </w:tc>
        <w:tc>
          <w:tcPr>
            <w:tcW w:w="1859" w:type="dxa"/>
            <w:tcBorders>
              <w:top w:val="nil"/>
              <w:left w:val="nil"/>
              <w:bottom w:val="single" w:sz="4"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3.982</w:t>
            </w:r>
          </w:p>
        </w:tc>
        <w:tc>
          <w:tcPr>
            <w:tcW w:w="1859" w:type="dxa"/>
            <w:tcBorders>
              <w:top w:val="nil"/>
              <w:left w:val="single" w:sz="8" w:space="0" w:color="auto"/>
              <w:bottom w:val="single" w:sz="4"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13.819</w:t>
            </w:r>
          </w:p>
        </w:tc>
      </w:tr>
      <w:tr>
        <w:trPr>
          <w:trHeight w:val="264"/>
        </w:trPr>
        <w:tc>
          <w:tcPr>
            <w:tcW w:w="3139"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Unternehmen</w:t>
            </w:r>
          </w:p>
        </w:tc>
        <w:tc>
          <w:tcPr>
            <w:tcW w:w="1859" w:type="dxa"/>
            <w:tcBorders>
              <w:top w:val="nil"/>
              <w:left w:val="nil"/>
              <w:bottom w:val="single" w:sz="4" w:space="0" w:color="auto"/>
              <w:right w:val="single" w:sz="8"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75.704</w:t>
            </w:r>
          </w:p>
        </w:tc>
        <w:tc>
          <w:tcPr>
            <w:tcW w:w="1859" w:type="dxa"/>
            <w:tcBorders>
              <w:top w:val="nil"/>
              <w:left w:val="nil"/>
              <w:bottom w:val="single" w:sz="4"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34.142</w:t>
            </w:r>
          </w:p>
        </w:tc>
        <w:tc>
          <w:tcPr>
            <w:tcW w:w="1859" w:type="dxa"/>
            <w:tcBorders>
              <w:top w:val="nil"/>
              <w:left w:val="single" w:sz="8" w:space="0" w:color="auto"/>
              <w:bottom w:val="single" w:sz="4"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153.102</w:t>
            </w:r>
          </w:p>
        </w:tc>
      </w:tr>
      <w:tr>
        <w:trPr>
          <w:trHeight w:val="264"/>
        </w:trPr>
        <w:tc>
          <w:tcPr>
            <w:tcW w:w="3139"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Mengengeschäft</w:t>
            </w:r>
          </w:p>
        </w:tc>
        <w:tc>
          <w:tcPr>
            <w:tcW w:w="1859" w:type="dxa"/>
            <w:tcBorders>
              <w:top w:val="nil"/>
              <w:left w:val="nil"/>
              <w:bottom w:val="single" w:sz="4" w:space="0" w:color="auto"/>
              <w:right w:val="single" w:sz="8"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53.044</w:t>
            </w:r>
          </w:p>
        </w:tc>
        <w:tc>
          <w:tcPr>
            <w:tcW w:w="1859" w:type="dxa"/>
            <w:tcBorders>
              <w:top w:val="nil"/>
              <w:left w:val="nil"/>
              <w:bottom w:val="single" w:sz="4"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17.325</w:t>
            </w:r>
          </w:p>
        </w:tc>
        <w:tc>
          <w:tcPr>
            <w:tcW w:w="1859" w:type="dxa"/>
            <w:tcBorders>
              <w:top w:val="nil"/>
              <w:left w:val="single" w:sz="8" w:space="0" w:color="auto"/>
              <w:bottom w:val="single" w:sz="4"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86.56</w:t>
            </w:r>
            <w:r>
              <w:rPr>
                <w:rFonts w:cs="Arial"/>
                <w:sz w:val="18"/>
                <w:szCs w:val="18"/>
              </w:rPr>
              <w:t>4</w:t>
            </w:r>
          </w:p>
        </w:tc>
      </w:tr>
      <w:tr>
        <w:trPr>
          <w:trHeight w:val="264"/>
        </w:trPr>
        <w:tc>
          <w:tcPr>
            <w:tcW w:w="3139"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Durch Immobilien besichert</w:t>
            </w:r>
          </w:p>
        </w:tc>
        <w:tc>
          <w:tcPr>
            <w:tcW w:w="1859" w:type="dxa"/>
            <w:tcBorders>
              <w:top w:val="nil"/>
              <w:left w:val="nil"/>
              <w:bottom w:val="single" w:sz="4" w:space="0" w:color="auto"/>
              <w:right w:val="single" w:sz="8"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28.774</w:t>
            </w:r>
          </w:p>
        </w:tc>
        <w:tc>
          <w:tcPr>
            <w:tcW w:w="1859" w:type="dxa"/>
            <w:tcBorders>
              <w:top w:val="nil"/>
              <w:left w:val="nil"/>
              <w:bottom w:val="single" w:sz="4"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24.913</w:t>
            </w:r>
          </w:p>
        </w:tc>
        <w:tc>
          <w:tcPr>
            <w:tcW w:w="1859" w:type="dxa"/>
            <w:tcBorders>
              <w:top w:val="nil"/>
              <w:left w:val="single" w:sz="8" w:space="0" w:color="auto"/>
              <w:bottom w:val="single" w:sz="4"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202.041</w:t>
            </w:r>
          </w:p>
        </w:tc>
      </w:tr>
      <w:tr>
        <w:trPr>
          <w:trHeight w:val="264"/>
        </w:trPr>
        <w:tc>
          <w:tcPr>
            <w:tcW w:w="3139"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Ausgefallene Positionen</w:t>
            </w:r>
          </w:p>
        </w:tc>
        <w:tc>
          <w:tcPr>
            <w:tcW w:w="1859" w:type="dxa"/>
            <w:tcBorders>
              <w:top w:val="nil"/>
              <w:left w:val="nil"/>
              <w:bottom w:val="single" w:sz="4" w:space="0" w:color="auto"/>
              <w:right w:val="single" w:sz="8"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696</w:t>
            </w:r>
          </w:p>
        </w:tc>
        <w:tc>
          <w:tcPr>
            <w:tcW w:w="1859" w:type="dxa"/>
            <w:tcBorders>
              <w:top w:val="nil"/>
              <w:left w:val="nil"/>
              <w:bottom w:val="single" w:sz="4"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118</w:t>
            </w:r>
          </w:p>
        </w:tc>
        <w:tc>
          <w:tcPr>
            <w:tcW w:w="1859" w:type="dxa"/>
            <w:tcBorders>
              <w:top w:val="nil"/>
              <w:left w:val="single" w:sz="8" w:space="0" w:color="auto"/>
              <w:bottom w:val="single" w:sz="4"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868</w:t>
            </w:r>
          </w:p>
        </w:tc>
      </w:tr>
      <w:tr>
        <w:trPr>
          <w:trHeight w:val="264"/>
        </w:trPr>
        <w:tc>
          <w:tcPr>
            <w:tcW w:w="3139"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Gedeckte Schuldverschreibungen</w:t>
            </w:r>
          </w:p>
        </w:tc>
        <w:tc>
          <w:tcPr>
            <w:tcW w:w="1859" w:type="dxa"/>
            <w:tcBorders>
              <w:top w:val="nil"/>
              <w:left w:val="nil"/>
              <w:bottom w:val="single" w:sz="4" w:space="0" w:color="auto"/>
              <w:right w:val="single" w:sz="8" w:space="0" w:color="auto"/>
            </w:tcBorders>
            <w:shd w:val="clear" w:color="auto" w:fill="auto"/>
            <w:vAlign w:val="center"/>
            <w:hideMark/>
          </w:tcPr>
          <w:p>
            <w:pPr>
              <w:spacing w:before="0" w:after="0"/>
              <w:ind w:right="255"/>
              <w:jc w:val="right"/>
              <w:rPr>
                <w:rFonts w:cs="Arial"/>
                <w:color w:val="000000"/>
                <w:sz w:val="18"/>
                <w:szCs w:val="18"/>
              </w:rPr>
            </w:pPr>
            <w:r>
              <w:rPr>
                <w:rFonts w:cs="Arial"/>
                <w:sz w:val="18"/>
                <w:szCs w:val="18"/>
              </w:rPr>
              <w:t>0</w:t>
            </w:r>
          </w:p>
        </w:tc>
        <w:tc>
          <w:tcPr>
            <w:tcW w:w="1859" w:type="dxa"/>
            <w:tcBorders>
              <w:top w:val="nil"/>
              <w:left w:val="nil"/>
              <w:bottom w:val="single" w:sz="4"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5.776</w:t>
            </w:r>
          </w:p>
        </w:tc>
        <w:tc>
          <w:tcPr>
            <w:tcW w:w="1859" w:type="dxa"/>
            <w:tcBorders>
              <w:top w:val="nil"/>
              <w:left w:val="single" w:sz="8" w:space="0" w:color="auto"/>
              <w:bottom w:val="single" w:sz="4"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color w:val="000000"/>
                <w:sz w:val="18"/>
                <w:szCs w:val="18"/>
              </w:rPr>
              <w:t>3.481</w:t>
            </w:r>
          </w:p>
        </w:tc>
      </w:tr>
      <w:tr>
        <w:trPr>
          <w:trHeight w:val="456"/>
        </w:trPr>
        <w:tc>
          <w:tcPr>
            <w:tcW w:w="3139"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 xml:space="preserve">Organismen für gemeinsame </w:t>
            </w:r>
          </w:p>
          <w:p>
            <w:pPr>
              <w:spacing w:before="0" w:after="0"/>
              <w:jc w:val="left"/>
              <w:rPr>
                <w:rFonts w:cs="Arial"/>
                <w:color w:val="000000"/>
                <w:sz w:val="18"/>
                <w:szCs w:val="18"/>
              </w:rPr>
            </w:pPr>
            <w:r>
              <w:rPr>
                <w:rFonts w:cs="Arial"/>
                <w:color w:val="000000"/>
                <w:sz w:val="18"/>
                <w:szCs w:val="18"/>
              </w:rPr>
              <w:t>Anlagen (OGA)</w:t>
            </w:r>
          </w:p>
        </w:tc>
        <w:tc>
          <w:tcPr>
            <w:tcW w:w="1859" w:type="dxa"/>
            <w:tcBorders>
              <w:top w:val="nil"/>
              <w:left w:val="nil"/>
              <w:bottom w:val="single" w:sz="4" w:space="0" w:color="auto"/>
              <w:right w:val="single" w:sz="8" w:space="0" w:color="auto"/>
            </w:tcBorders>
            <w:shd w:val="clear" w:color="auto" w:fill="auto"/>
            <w:vAlign w:val="center"/>
          </w:tcPr>
          <w:p>
            <w:pPr>
              <w:spacing w:before="0" w:after="0"/>
              <w:ind w:right="255"/>
              <w:jc w:val="right"/>
              <w:rPr>
                <w:rFonts w:cs="Arial"/>
                <w:color w:val="000000"/>
                <w:sz w:val="18"/>
                <w:szCs w:val="18"/>
              </w:rPr>
            </w:pPr>
            <w:r>
              <w:rPr>
                <w:rFonts w:cs="Arial"/>
                <w:color w:val="000000"/>
                <w:sz w:val="18"/>
                <w:szCs w:val="18"/>
              </w:rPr>
              <w:t>15.744</w:t>
            </w:r>
          </w:p>
        </w:tc>
        <w:tc>
          <w:tcPr>
            <w:tcW w:w="1859" w:type="dxa"/>
            <w:tcBorders>
              <w:top w:val="nil"/>
              <w:left w:val="nil"/>
              <w:bottom w:val="single" w:sz="4" w:space="0" w:color="auto"/>
              <w:right w:val="single" w:sz="4" w:space="0" w:color="auto"/>
            </w:tcBorders>
            <w:shd w:val="clear" w:color="auto" w:fill="auto"/>
            <w:vAlign w:val="center"/>
          </w:tcPr>
          <w:p>
            <w:pPr>
              <w:spacing w:before="0" w:after="0"/>
              <w:ind w:right="255"/>
              <w:jc w:val="right"/>
              <w:rPr>
                <w:rFonts w:cs="Arial"/>
                <w:color w:val="000000"/>
                <w:sz w:val="18"/>
                <w:szCs w:val="18"/>
              </w:rPr>
            </w:pPr>
            <w:r>
              <w:rPr>
                <w:rFonts w:cs="Arial"/>
                <w:sz w:val="18"/>
                <w:szCs w:val="18"/>
              </w:rPr>
              <w:t>0</w:t>
            </w:r>
          </w:p>
        </w:tc>
        <w:tc>
          <w:tcPr>
            <w:tcW w:w="1859" w:type="dxa"/>
            <w:tcBorders>
              <w:top w:val="nil"/>
              <w:left w:val="single" w:sz="8" w:space="0" w:color="auto"/>
              <w:bottom w:val="single" w:sz="4" w:space="0" w:color="auto"/>
              <w:right w:val="single" w:sz="8" w:space="0" w:color="auto"/>
            </w:tcBorders>
            <w:shd w:val="clear" w:color="auto" w:fill="auto"/>
            <w:noWrap/>
            <w:vAlign w:val="center"/>
          </w:tcPr>
          <w:p>
            <w:pPr>
              <w:spacing w:before="0" w:after="0"/>
              <w:ind w:right="255"/>
              <w:jc w:val="right"/>
              <w:rPr>
                <w:rFonts w:cs="Arial"/>
                <w:color w:val="000000"/>
                <w:sz w:val="18"/>
                <w:szCs w:val="18"/>
              </w:rPr>
            </w:pPr>
            <w:r>
              <w:rPr>
                <w:rFonts w:cs="Arial"/>
                <w:sz w:val="18"/>
                <w:szCs w:val="18"/>
              </w:rPr>
              <w:t>0</w:t>
            </w:r>
          </w:p>
        </w:tc>
      </w:tr>
      <w:tr>
        <w:trPr>
          <w:trHeight w:val="264"/>
        </w:trPr>
        <w:tc>
          <w:tcPr>
            <w:tcW w:w="3139"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Beteiligungen</w:t>
            </w:r>
          </w:p>
        </w:tc>
        <w:tc>
          <w:tcPr>
            <w:tcW w:w="1859" w:type="dxa"/>
            <w:tcBorders>
              <w:top w:val="nil"/>
              <w:left w:val="nil"/>
              <w:bottom w:val="single" w:sz="4" w:space="0" w:color="auto"/>
              <w:right w:val="single" w:sz="8" w:space="0" w:color="auto"/>
            </w:tcBorders>
            <w:shd w:val="clear" w:color="auto" w:fill="auto"/>
            <w:vAlign w:val="center"/>
            <w:hideMark/>
          </w:tcPr>
          <w:p>
            <w:pPr>
              <w:spacing w:before="0" w:after="0"/>
              <w:ind w:right="255"/>
              <w:jc w:val="right"/>
              <w:rPr>
                <w:rFonts w:cs="Arial"/>
                <w:color w:val="000000"/>
                <w:sz w:val="18"/>
                <w:szCs w:val="18"/>
              </w:rPr>
            </w:pPr>
            <w:r>
              <w:rPr>
                <w:rFonts w:cs="Arial"/>
                <w:color w:val="000000"/>
                <w:sz w:val="18"/>
                <w:szCs w:val="18"/>
              </w:rPr>
              <w:t>18.338</w:t>
            </w:r>
          </w:p>
        </w:tc>
        <w:tc>
          <w:tcPr>
            <w:tcW w:w="1859" w:type="dxa"/>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18"/>
                <w:szCs w:val="18"/>
              </w:rPr>
            </w:pPr>
            <w:r>
              <w:rPr>
                <w:rFonts w:cs="Arial"/>
                <w:sz w:val="18"/>
                <w:szCs w:val="18"/>
              </w:rPr>
              <w:t>0</w:t>
            </w:r>
          </w:p>
        </w:tc>
        <w:tc>
          <w:tcPr>
            <w:tcW w:w="1859" w:type="dxa"/>
            <w:tcBorders>
              <w:top w:val="nil"/>
              <w:left w:val="single" w:sz="8" w:space="0" w:color="auto"/>
              <w:bottom w:val="single" w:sz="4" w:space="0" w:color="auto"/>
              <w:right w:val="single" w:sz="8" w:space="0" w:color="auto"/>
            </w:tcBorders>
            <w:shd w:val="clear" w:color="auto" w:fill="auto"/>
            <w:noWrap/>
          </w:tcPr>
          <w:p>
            <w:pPr>
              <w:spacing w:before="0" w:after="0"/>
              <w:ind w:right="255"/>
              <w:jc w:val="right"/>
              <w:rPr>
                <w:rFonts w:cs="Arial"/>
                <w:color w:val="000000"/>
                <w:sz w:val="18"/>
                <w:szCs w:val="18"/>
              </w:rPr>
            </w:pPr>
            <w:r>
              <w:rPr>
                <w:rFonts w:cs="Arial"/>
                <w:sz w:val="18"/>
                <w:szCs w:val="18"/>
              </w:rPr>
              <w:t>0</w:t>
            </w:r>
          </w:p>
        </w:tc>
      </w:tr>
      <w:tr>
        <w:trPr>
          <w:trHeight w:val="264"/>
        </w:trPr>
        <w:tc>
          <w:tcPr>
            <w:tcW w:w="3139" w:type="dxa"/>
            <w:tcBorders>
              <w:top w:val="nil"/>
              <w:left w:val="single" w:sz="8" w:space="0" w:color="auto"/>
              <w:bottom w:val="single" w:sz="4" w:space="0" w:color="auto"/>
              <w:right w:val="single" w:sz="8" w:space="0" w:color="auto"/>
            </w:tcBorders>
            <w:shd w:val="clear" w:color="auto" w:fill="auto"/>
            <w:vAlign w:val="center"/>
            <w:hideMark/>
          </w:tcPr>
          <w:p>
            <w:pPr>
              <w:spacing w:before="0" w:after="0"/>
              <w:jc w:val="left"/>
              <w:rPr>
                <w:rFonts w:cs="Arial"/>
                <w:color w:val="000000"/>
                <w:sz w:val="18"/>
                <w:szCs w:val="18"/>
              </w:rPr>
            </w:pPr>
            <w:r>
              <w:rPr>
                <w:rFonts w:cs="Arial"/>
                <w:color w:val="000000"/>
                <w:sz w:val="18"/>
                <w:szCs w:val="18"/>
              </w:rPr>
              <w:t>Sonstige Positionen</w:t>
            </w:r>
          </w:p>
        </w:tc>
        <w:tc>
          <w:tcPr>
            <w:tcW w:w="1859" w:type="dxa"/>
            <w:tcBorders>
              <w:top w:val="nil"/>
              <w:left w:val="nil"/>
              <w:bottom w:val="single" w:sz="4" w:space="0" w:color="auto"/>
              <w:right w:val="single" w:sz="8" w:space="0" w:color="auto"/>
            </w:tcBorders>
            <w:shd w:val="clear" w:color="auto" w:fill="auto"/>
            <w:vAlign w:val="center"/>
            <w:hideMark/>
          </w:tcPr>
          <w:p>
            <w:pPr>
              <w:spacing w:before="0" w:after="0"/>
              <w:ind w:right="255"/>
              <w:jc w:val="right"/>
              <w:rPr>
                <w:rFonts w:cs="Arial"/>
                <w:color w:val="000000"/>
                <w:sz w:val="18"/>
                <w:szCs w:val="18"/>
              </w:rPr>
            </w:pPr>
            <w:r>
              <w:rPr>
                <w:rFonts w:cs="Arial"/>
                <w:color w:val="000000"/>
                <w:sz w:val="18"/>
                <w:szCs w:val="18"/>
              </w:rPr>
              <w:t>9.192</w:t>
            </w:r>
          </w:p>
        </w:tc>
        <w:tc>
          <w:tcPr>
            <w:tcW w:w="1859" w:type="dxa"/>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18"/>
                <w:szCs w:val="18"/>
              </w:rPr>
            </w:pPr>
            <w:r>
              <w:rPr>
                <w:rFonts w:cs="Arial"/>
                <w:sz w:val="18"/>
                <w:szCs w:val="18"/>
              </w:rPr>
              <w:t>0</w:t>
            </w:r>
          </w:p>
        </w:tc>
        <w:tc>
          <w:tcPr>
            <w:tcW w:w="1859" w:type="dxa"/>
            <w:tcBorders>
              <w:top w:val="nil"/>
              <w:left w:val="single" w:sz="8" w:space="0" w:color="auto"/>
              <w:bottom w:val="single" w:sz="4" w:space="0" w:color="auto"/>
              <w:right w:val="single" w:sz="8" w:space="0" w:color="auto"/>
            </w:tcBorders>
            <w:shd w:val="clear" w:color="auto" w:fill="auto"/>
            <w:noWrap/>
          </w:tcPr>
          <w:p>
            <w:pPr>
              <w:spacing w:before="0" w:after="0"/>
              <w:ind w:right="255"/>
              <w:jc w:val="right"/>
              <w:rPr>
                <w:rFonts w:cs="Arial"/>
                <w:color w:val="000000"/>
                <w:sz w:val="18"/>
                <w:szCs w:val="18"/>
              </w:rPr>
            </w:pPr>
            <w:r>
              <w:rPr>
                <w:rFonts w:cs="Arial"/>
                <w:sz w:val="18"/>
                <w:szCs w:val="18"/>
              </w:rPr>
              <w:t>0</w:t>
            </w:r>
          </w:p>
        </w:tc>
      </w:tr>
      <w:tr>
        <w:trPr>
          <w:trHeight w:val="276"/>
        </w:trPr>
        <w:tc>
          <w:tcPr>
            <w:tcW w:w="3139"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left"/>
              <w:rPr>
                <w:rFonts w:cs="Arial"/>
                <w:b/>
                <w:bCs/>
                <w:color w:val="000000"/>
                <w:sz w:val="18"/>
                <w:szCs w:val="18"/>
              </w:rPr>
            </w:pPr>
            <w:r>
              <w:rPr>
                <w:rFonts w:cs="Arial"/>
                <w:b/>
                <w:bCs/>
                <w:color w:val="000000"/>
                <w:sz w:val="18"/>
                <w:szCs w:val="18"/>
              </w:rPr>
              <w:t>Gesamt</w:t>
            </w:r>
          </w:p>
        </w:tc>
        <w:tc>
          <w:tcPr>
            <w:tcW w:w="1859" w:type="dxa"/>
            <w:tcBorders>
              <w:top w:val="single" w:sz="8" w:space="0" w:color="auto"/>
              <w:left w:val="nil"/>
              <w:bottom w:val="single" w:sz="8" w:space="0" w:color="auto"/>
              <w:right w:val="single" w:sz="8" w:space="0" w:color="auto"/>
            </w:tcBorders>
            <w:shd w:val="clear" w:color="auto" w:fill="auto"/>
            <w:vAlign w:val="center"/>
          </w:tcPr>
          <w:p>
            <w:pPr>
              <w:spacing w:before="0" w:after="0"/>
              <w:ind w:right="255"/>
              <w:jc w:val="right"/>
              <w:rPr>
                <w:rFonts w:cs="Arial"/>
                <w:b/>
                <w:bCs/>
                <w:color w:val="000000"/>
                <w:sz w:val="18"/>
                <w:szCs w:val="18"/>
              </w:rPr>
            </w:pPr>
            <w:r>
              <w:rPr>
                <w:rFonts w:cs="Arial"/>
                <w:b/>
                <w:bCs/>
                <w:color w:val="000000"/>
                <w:sz w:val="18"/>
                <w:szCs w:val="18"/>
              </w:rPr>
              <w:t>243.102</w:t>
            </w:r>
          </w:p>
        </w:tc>
        <w:tc>
          <w:tcPr>
            <w:tcW w:w="1859" w:type="dxa"/>
            <w:tcBorders>
              <w:top w:val="single" w:sz="8" w:space="0" w:color="auto"/>
              <w:left w:val="nil"/>
              <w:bottom w:val="single" w:sz="8" w:space="0" w:color="auto"/>
              <w:right w:val="single" w:sz="4" w:space="0" w:color="auto"/>
            </w:tcBorders>
            <w:shd w:val="clear" w:color="auto" w:fill="auto"/>
            <w:vAlign w:val="center"/>
          </w:tcPr>
          <w:p>
            <w:pPr>
              <w:spacing w:before="0" w:after="0"/>
              <w:ind w:right="255"/>
              <w:jc w:val="right"/>
              <w:rPr>
                <w:rFonts w:cs="Arial"/>
                <w:b/>
                <w:color w:val="000000"/>
                <w:sz w:val="18"/>
                <w:szCs w:val="18"/>
              </w:rPr>
            </w:pPr>
            <w:r>
              <w:rPr>
                <w:rFonts w:cs="Arial"/>
                <w:b/>
                <w:color w:val="000000"/>
                <w:sz w:val="18"/>
                <w:szCs w:val="18"/>
              </w:rPr>
              <w:t>88.829</w:t>
            </w:r>
          </w:p>
        </w:tc>
        <w:tc>
          <w:tcPr>
            <w:tcW w:w="1859"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ind w:right="255"/>
              <w:jc w:val="right"/>
              <w:rPr>
                <w:rFonts w:cs="Arial"/>
                <w:b/>
                <w:color w:val="000000"/>
                <w:sz w:val="18"/>
                <w:szCs w:val="18"/>
              </w:rPr>
            </w:pPr>
            <w:r>
              <w:rPr>
                <w:rFonts w:cs="Arial"/>
                <w:b/>
                <w:color w:val="000000"/>
                <w:sz w:val="18"/>
                <w:szCs w:val="18"/>
              </w:rPr>
              <w:t>489.676</w:t>
            </w:r>
          </w:p>
        </w:tc>
      </w:tr>
    </w:tbl>
    <w:p>
      <w:pPr>
        <w:pStyle w:val="Randziffer"/>
        <w:numPr>
          <w:ilvl w:val="0"/>
          <w:numId w:val="0"/>
        </w:numPr>
        <w:ind w:left="426"/>
      </w:pPr>
      <w:r>
        <w:t>Die Positionen mit unbefristeter Laufzeit sind in der Spalte &gt; 5 Jahre enthalten.</w:t>
      </w:r>
    </w:p>
    <w:p>
      <w:pPr>
        <w:pStyle w:val="Randziffer"/>
      </w:pPr>
      <w:r>
        <w:t>Die Risikovorsorge erfolgt gemäß den handelsrechtlichen Vorgaben nach dem strengen Niederstwertprinzip. Uneinbringliche Forderungen werden abgeschrieben. Für zweifelhaft einbringliche Forderungen werden Einzelwertberichtigungen (EWB) gebildet. Außerdem besteht eine Vorsorge für allgemeine Bankrisiken gem. § 340f HGB. Soweit diese auch nach CRR aufsichtsrechtliche Eigenmittel darstellen, bilden sie die Position 50 in Anhang II.</w:t>
      </w:r>
      <w:r>
        <w:rPr>
          <w:rStyle w:val="Funotenzeichen"/>
        </w:rPr>
        <w:footnoteReference w:id="3"/>
      </w:r>
      <w:r>
        <w:t xml:space="preserve"> Unterjährig haben wir sichergestellt, dass Einzelwertberichtigungen umgehend erfasst werden. Eine Auflösung der Einzelrisikovorsorge nehmen wir erst dann vor, wenn sich die wirtschaftlichen Verhältnisse des Kreditnehmers erkennbar mit nachhaltiger Wirkung verbessert haben.</w:t>
      </w:r>
    </w:p>
    <w:p>
      <w:pPr>
        <w:pStyle w:val="Randziffer"/>
      </w:pPr>
      <w:r>
        <w:t>Darstellung der notleidenden Forderungen nach wesentlichen Wirtschaftszweigen(in TEUR):</w:t>
      </w:r>
    </w:p>
    <w:tbl>
      <w:tblPr>
        <w:tblW w:w="8547"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774"/>
        <w:gridCol w:w="1452"/>
        <w:gridCol w:w="805"/>
        <w:gridCol w:w="1130"/>
        <w:gridCol w:w="1290"/>
        <w:gridCol w:w="967"/>
        <w:gridCol w:w="1129"/>
      </w:tblGrid>
      <w:tr>
        <w:trPr>
          <w:cantSplit/>
          <w:trHeight w:val="1124"/>
        </w:trPr>
        <w:tc>
          <w:tcPr>
            <w:tcW w:w="1774" w:type="dxa"/>
            <w:shd w:val="clear" w:color="auto" w:fill="00B0F0"/>
            <w:vAlign w:val="center"/>
          </w:tcPr>
          <w:p>
            <w:pPr>
              <w:keepNext/>
              <w:keepLines/>
              <w:spacing w:before="60" w:after="60"/>
              <w:contextualSpacing/>
              <w:jc w:val="center"/>
              <w:rPr>
                <w:b/>
                <w:color w:val="FFFFFF" w:themeColor="background1"/>
                <w:sz w:val="16"/>
                <w:szCs w:val="16"/>
              </w:rPr>
            </w:pPr>
            <w:r>
              <w:rPr>
                <w:b/>
                <w:color w:val="FFFFFF" w:themeColor="background1"/>
                <w:sz w:val="16"/>
                <w:szCs w:val="16"/>
              </w:rPr>
              <w:t xml:space="preserve">Wesentliche </w:t>
            </w:r>
          </w:p>
          <w:p>
            <w:pPr>
              <w:keepNext/>
              <w:keepLines/>
              <w:spacing w:before="60" w:after="60"/>
              <w:contextualSpacing/>
              <w:jc w:val="center"/>
              <w:rPr>
                <w:b/>
                <w:color w:val="FFFFFF" w:themeColor="background1"/>
                <w:sz w:val="16"/>
                <w:szCs w:val="16"/>
              </w:rPr>
            </w:pPr>
            <w:r>
              <w:rPr>
                <w:b/>
                <w:color w:val="FFFFFF" w:themeColor="background1"/>
                <w:sz w:val="16"/>
                <w:szCs w:val="16"/>
              </w:rPr>
              <w:t>Wirtschaftszweige</w:t>
            </w:r>
          </w:p>
        </w:tc>
        <w:tc>
          <w:tcPr>
            <w:tcW w:w="1452" w:type="dxa"/>
            <w:shd w:val="clear" w:color="auto" w:fill="00B0F0"/>
            <w:vAlign w:val="center"/>
          </w:tcPr>
          <w:p>
            <w:pPr>
              <w:keepNext/>
              <w:keepLines/>
              <w:spacing w:before="60" w:after="60"/>
              <w:contextualSpacing/>
              <w:jc w:val="center"/>
              <w:rPr>
                <w:b/>
                <w:color w:val="FFFFFF" w:themeColor="background1"/>
                <w:sz w:val="16"/>
                <w:szCs w:val="16"/>
              </w:rPr>
            </w:pPr>
            <w:r>
              <w:rPr>
                <w:b/>
                <w:color w:val="FFFFFF" w:themeColor="background1"/>
                <w:sz w:val="16"/>
                <w:szCs w:val="16"/>
              </w:rPr>
              <w:t>Gesamt</w:t>
            </w:r>
            <w:r>
              <w:rPr>
                <w:b/>
                <w:color w:val="FFFFFF" w:themeColor="background1"/>
                <w:sz w:val="16"/>
                <w:szCs w:val="16"/>
              </w:rPr>
              <w:softHyphen/>
              <w:t>-</w:t>
            </w:r>
          </w:p>
          <w:p>
            <w:pPr>
              <w:keepNext/>
              <w:keepLines/>
              <w:spacing w:before="60" w:after="60"/>
              <w:contextualSpacing/>
              <w:jc w:val="center"/>
              <w:rPr>
                <w:b/>
                <w:color w:val="FFFFFF" w:themeColor="background1"/>
                <w:sz w:val="16"/>
                <w:szCs w:val="16"/>
              </w:rPr>
            </w:pPr>
            <w:proofErr w:type="spellStart"/>
            <w:r>
              <w:rPr>
                <w:b/>
                <w:color w:val="FFFFFF" w:themeColor="background1"/>
                <w:sz w:val="16"/>
                <w:szCs w:val="16"/>
              </w:rPr>
              <w:t>inanspruchnahme</w:t>
            </w:r>
            <w:proofErr w:type="spellEnd"/>
            <w:r>
              <w:rPr>
                <w:b/>
                <w:color w:val="FFFFFF" w:themeColor="background1"/>
                <w:sz w:val="16"/>
                <w:szCs w:val="16"/>
              </w:rPr>
              <w:t xml:space="preserve"> aus notleidenden </w:t>
            </w:r>
            <w:r>
              <w:rPr>
                <w:b/>
                <w:color w:val="FFFFFF" w:themeColor="background1"/>
                <w:sz w:val="16"/>
                <w:szCs w:val="16"/>
              </w:rPr>
              <w:br/>
              <w:t>Krediten</w:t>
            </w:r>
          </w:p>
        </w:tc>
        <w:tc>
          <w:tcPr>
            <w:tcW w:w="805" w:type="dxa"/>
            <w:shd w:val="clear" w:color="auto" w:fill="00B0F0"/>
            <w:vAlign w:val="center"/>
          </w:tcPr>
          <w:p>
            <w:pPr>
              <w:keepNext/>
              <w:keepLines/>
              <w:spacing w:before="60" w:after="60"/>
              <w:contextualSpacing/>
              <w:jc w:val="center"/>
              <w:rPr>
                <w:b/>
                <w:color w:val="FFFFFF" w:themeColor="background1"/>
                <w:sz w:val="16"/>
                <w:szCs w:val="16"/>
              </w:rPr>
            </w:pPr>
            <w:r>
              <w:rPr>
                <w:b/>
                <w:color w:val="FFFFFF" w:themeColor="background1"/>
                <w:sz w:val="16"/>
                <w:szCs w:val="16"/>
              </w:rPr>
              <w:t>Bestand</w:t>
            </w:r>
            <w:r>
              <w:rPr>
                <w:b/>
                <w:color w:val="FFFFFF" w:themeColor="background1"/>
                <w:sz w:val="16"/>
                <w:szCs w:val="16"/>
              </w:rPr>
              <w:br/>
              <w:t>EWB</w:t>
            </w:r>
          </w:p>
        </w:tc>
        <w:tc>
          <w:tcPr>
            <w:tcW w:w="1130" w:type="dxa"/>
            <w:shd w:val="clear" w:color="auto" w:fill="00B0F0"/>
            <w:vAlign w:val="center"/>
          </w:tcPr>
          <w:p>
            <w:pPr>
              <w:keepNext/>
              <w:keepLines/>
              <w:spacing w:before="60" w:after="60"/>
              <w:contextualSpacing/>
              <w:jc w:val="center"/>
              <w:rPr>
                <w:b/>
                <w:color w:val="FFFFFF" w:themeColor="background1"/>
                <w:sz w:val="16"/>
                <w:szCs w:val="16"/>
              </w:rPr>
            </w:pPr>
            <w:r>
              <w:rPr>
                <w:b/>
                <w:color w:val="FFFFFF" w:themeColor="background1"/>
                <w:sz w:val="16"/>
                <w:szCs w:val="16"/>
              </w:rPr>
              <w:t>Bestand</w:t>
            </w:r>
            <w:r>
              <w:rPr>
                <w:b/>
                <w:color w:val="FFFFFF" w:themeColor="background1"/>
                <w:sz w:val="16"/>
                <w:szCs w:val="16"/>
              </w:rPr>
              <w:br/>
              <w:t>Rück-</w:t>
            </w:r>
          </w:p>
          <w:p>
            <w:pPr>
              <w:keepNext/>
              <w:keepLines/>
              <w:spacing w:before="60" w:after="60"/>
              <w:contextualSpacing/>
              <w:jc w:val="center"/>
              <w:rPr>
                <w:b/>
                <w:color w:val="FFFFFF" w:themeColor="background1"/>
                <w:sz w:val="16"/>
                <w:szCs w:val="16"/>
              </w:rPr>
            </w:pPr>
            <w:r>
              <w:rPr>
                <w:b/>
                <w:color w:val="FFFFFF" w:themeColor="background1"/>
                <w:sz w:val="16"/>
                <w:szCs w:val="16"/>
              </w:rPr>
              <w:softHyphen/>
            </w:r>
            <w:proofErr w:type="spellStart"/>
            <w:r>
              <w:rPr>
                <w:b/>
                <w:color w:val="FFFFFF" w:themeColor="background1"/>
                <w:sz w:val="16"/>
                <w:szCs w:val="16"/>
              </w:rPr>
              <w:t>stellungen</w:t>
            </w:r>
            <w:proofErr w:type="spellEnd"/>
          </w:p>
        </w:tc>
        <w:tc>
          <w:tcPr>
            <w:tcW w:w="1290" w:type="dxa"/>
            <w:shd w:val="clear" w:color="auto" w:fill="00B0F0"/>
            <w:vAlign w:val="center"/>
          </w:tcPr>
          <w:p>
            <w:pPr>
              <w:keepNext/>
              <w:keepLines/>
              <w:spacing w:before="60" w:after="60"/>
              <w:contextualSpacing/>
              <w:jc w:val="center"/>
              <w:rPr>
                <w:b/>
                <w:color w:val="FFFFFF" w:themeColor="background1"/>
                <w:sz w:val="16"/>
                <w:szCs w:val="16"/>
              </w:rPr>
            </w:pPr>
            <w:proofErr w:type="spellStart"/>
            <w:r>
              <w:rPr>
                <w:b/>
                <w:color w:val="FFFFFF" w:themeColor="background1"/>
                <w:sz w:val="16"/>
                <w:szCs w:val="16"/>
              </w:rPr>
              <w:t>Nettozuführg</w:t>
            </w:r>
            <w:proofErr w:type="spellEnd"/>
            <w:r>
              <w:rPr>
                <w:b/>
                <w:color w:val="FFFFFF" w:themeColor="background1"/>
                <w:sz w:val="16"/>
                <w:szCs w:val="16"/>
              </w:rPr>
              <w:t>./</w:t>
            </w:r>
            <w:r>
              <w:rPr>
                <w:b/>
                <w:color w:val="FFFFFF" w:themeColor="background1"/>
                <w:sz w:val="16"/>
                <w:szCs w:val="16"/>
              </w:rPr>
              <w:br/>
              <w:t>Auflösung von EWB/Rück</w:t>
            </w:r>
            <w:r>
              <w:rPr>
                <w:b/>
                <w:color w:val="FFFFFF" w:themeColor="background1"/>
                <w:sz w:val="16"/>
                <w:szCs w:val="16"/>
              </w:rPr>
              <w:softHyphen/>
              <w:t>stellungen</w:t>
            </w:r>
          </w:p>
        </w:tc>
        <w:tc>
          <w:tcPr>
            <w:tcW w:w="967" w:type="dxa"/>
            <w:shd w:val="clear" w:color="auto" w:fill="00B0F0"/>
            <w:vAlign w:val="center"/>
          </w:tcPr>
          <w:p>
            <w:pPr>
              <w:keepNext/>
              <w:keepLines/>
              <w:spacing w:before="60" w:after="60"/>
              <w:contextualSpacing/>
              <w:jc w:val="center"/>
              <w:rPr>
                <w:b/>
                <w:color w:val="FFFFFF" w:themeColor="background1"/>
                <w:sz w:val="16"/>
                <w:szCs w:val="16"/>
              </w:rPr>
            </w:pPr>
            <w:r>
              <w:rPr>
                <w:b/>
                <w:color w:val="FFFFFF" w:themeColor="background1"/>
                <w:sz w:val="16"/>
                <w:szCs w:val="16"/>
              </w:rPr>
              <w:t>Direkt</w:t>
            </w:r>
            <w:r>
              <w:rPr>
                <w:b/>
                <w:color w:val="FFFFFF" w:themeColor="background1"/>
                <w:sz w:val="16"/>
                <w:szCs w:val="16"/>
              </w:rPr>
              <w:softHyphen/>
              <w:t>-</w:t>
            </w:r>
          </w:p>
          <w:p>
            <w:pPr>
              <w:keepNext/>
              <w:keepLines/>
              <w:spacing w:before="60" w:after="60"/>
              <w:contextualSpacing/>
              <w:jc w:val="center"/>
              <w:rPr>
                <w:b/>
                <w:color w:val="FFFFFF" w:themeColor="background1"/>
                <w:sz w:val="16"/>
                <w:szCs w:val="16"/>
              </w:rPr>
            </w:pPr>
            <w:proofErr w:type="spellStart"/>
            <w:r>
              <w:rPr>
                <w:b/>
                <w:color w:val="FFFFFF" w:themeColor="background1"/>
                <w:sz w:val="16"/>
                <w:szCs w:val="16"/>
              </w:rPr>
              <w:t>abschrei</w:t>
            </w:r>
            <w:r>
              <w:rPr>
                <w:b/>
                <w:color w:val="FFFFFF" w:themeColor="background1"/>
                <w:sz w:val="16"/>
                <w:szCs w:val="16"/>
              </w:rPr>
              <w:softHyphen/>
              <w:t>bungen</w:t>
            </w:r>
            <w:proofErr w:type="spellEnd"/>
          </w:p>
        </w:tc>
        <w:tc>
          <w:tcPr>
            <w:tcW w:w="1129" w:type="dxa"/>
            <w:shd w:val="clear" w:color="auto" w:fill="00B0F0"/>
            <w:vAlign w:val="center"/>
          </w:tcPr>
          <w:p>
            <w:pPr>
              <w:keepNext/>
              <w:keepLines/>
              <w:spacing w:before="60" w:after="60"/>
              <w:contextualSpacing/>
              <w:jc w:val="center"/>
              <w:rPr>
                <w:b/>
                <w:color w:val="FFFFFF" w:themeColor="background1"/>
                <w:sz w:val="16"/>
                <w:szCs w:val="16"/>
              </w:rPr>
            </w:pPr>
            <w:r>
              <w:rPr>
                <w:b/>
                <w:color w:val="FFFFFF" w:themeColor="background1"/>
                <w:sz w:val="16"/>
                <w:szCs w:val="16"/>
              </w:rPr>
              <w:t>Eingänge auf abgeschriebene Forderungen</w:t>
            </w:r>
          </w:p>
        </w:tc>
      </w:tr>
      <w:tr>
        <w:trPr>
          <w:cantSplit/>
          <w:trHeight w:val="255"/>
        </w:trPr>
        <w:tc>
          <w:tcPr>
            <w:tcW w:w="1774" w:type="dxa"/>
            <w:vAlign w:val="center"/>
          </w:tcPr>
          <w:p>
            <w:pPr>
              <w:keepNext/>
              <w:keepLines/>
              <w:spacing w:before="20" w:after="20"/>
              <w:jc w:val="left"/>
              <w:rPr>
                <w:color w:val="000000"/>
                <w:sz w:val="18"/>
              </w:rPr>
            </w:pPr>
            <w:r>
              <w:rPr>
                <w:color w:val="000000"/>
                <w:sz w:val="18"/>
              </w:rPr>
              <w:t>Privatkunden</w:t>
            </w:r>
          </w:p>
        </w:tc>
        <w:tc>
          <w:tcPr>
            <w:tcW w:w="1452" w:type="dxa"/>
            <w:shd w:val="clear" w:color="auto" w:fill="auto"/>
            <w:vAlign w:val="center"/>
          </w:tcPr>
          <w:p>
            <w:pPr>
              <w:spacing w:before="20" w:after="20"/>
              <w:ind w:right="114"/>
              <w:jc w:val="right"/>
              <w:rPr>
                <w:sz w:val="18"/>
                <w:szCs w:val="18"/>
              </w:rPr>
            </w:pPr>
            <w:r>
              <w:rPr>
                <w:sz w:val="18"/>
                <w:szCs w:val="18"/>
              </w:rPr>
              <w:t>813</w:t>
            </w:r>
          </w:p>
        </w:tc>
        <w:tc>
          <w:tcPr>
            <w:tcW w:w="805" w:type="dxa"/>
            <w:shd w:val="clear" w:color="auto" w:fill="auto"/>
            <w:vAlign w:val="center"/>
          </w:tcPr>
          <w:p>
            <w:pPr>
              <w:spacing w:before="20" w:after="20"/>
              <w:ind w:right="114"/>
              <w:jc w:val="right"/>
              <w:rPr>
                <w:bCs/>
                <w:color w:val="000000"/>
                <w:sz w:val="18"/>
              </w:rPr>
            </w:pPr>
            <w:r>
              <w:rPr>
                <w:bCs/>
                <w:color w:val="000000"/>
                <w:sz w:val="18"/>
              </w:rPr>
              <w:t>308</w:t>
            </w:r>
          </w:p>
        </w:tc>
        <w:tc>
          <w:tcPr>
            <w:tcW w:w="1130" w:type="dxa"/>
            <w:shd w:val="clear" w:color="auto" w:fill="auto"/>
            <w:vAlign w:val="center"/>
          </w:tcPr>
          <w:p>
            <w:pPr>
              <w:spacing w:before="20" w:after="20"/>
              <w:ind w:right="114"/>
              <w:jc w:val="right"/>
              <w:rPr>
                <w:bCs/>
                <w:color w:val="000000"/>
                <w:sz w:val="18"/>
              </w:rPr>
            </w:pPr>
            <w:r>
              <w:rPr>
                <w:bCs/>
                <w:color w:val="000000"/>
                <w:sz w:val="18"/>
              </w:rPr>
              <w:t>0</w:t>
            </w:r>
          </w:p>
        </w:tc>
        <w:tc>
          <w:tcPr>
            <w:tcW w:w="1290" w:type="dxa"/>
            <w:shd w:val="clear" w:color="auto" w:fill="auto"/>
            <w:vAlign w:val="center"/>
          </w:tcPr>
          <w:p>
            <w:pPr>
              <w:spacing w:before="20" w:after="20"/>
              <w:ind w:right="114"/>
              <w:jc w:val="right"/>
              <w:rPr>
                <w:sz w:val="18"/>
                <w:szCs w:val="18"/>
              </w:rPr>
            </w:pPr>
            <w:r>
              <w:rPr>
                <w:sz w:val="18"/>
                <w:szCs w:val="18"/>
              </w:rPr>
              <w:t>243</w:t>
            </w:r>
          </w:p>
        </w:tc>
        <w:tc>
          <w:tcPr>
            <w:tcW w:w="967" w:type="dxa"/>
            <w:shd w:val="clear" w:color="auto" w:fill="auto"/>
            <w:vAlign w:val="center"/>
          </w:tcPr>
          <w:p>
            <w:pPr>
              <w:spacing w:before="20" w:after="20"/>
              <w:ind w:right="114"/>
              <w:jc w:val="right"/>
              <w:rPr>
                <w:bCs/>
                <w:sz w:val="18"/>
              </w:rPr>
            </w:pPr>
            <w:r>
              <w:rPr>
                <w:bCs/>
                <w:sz w:val="18"/>
              </w:rPr>
              <w:t>0</w:t>
            </w:r>
          </w:p>
        </w:tc>
        <w:tc>
          <w:tcPr>
            <w:tcW w:w="1129" w:type="dxa"/>
            <w:vAlign w:val="center"/>
          </w:tcPr>
          <w:p>
            <w:pPr>
              <w:spacing w:before="20" w:after="20"/>
              <w:ind w:right="114"/>
              <w:jc w:val="right"/>
              <w:rPr>
                <w:bCs/>
                <w:color w:val="000000"/>
                <w:sz w:val="18"/>
              </w:rPr>
            </w:pPr>
            <w:r>
              <w:rPr>
                <w:bCs/>
                <w:color w:val="000000"/>
                <w:sz w:val="18"/>
              </w:rPr>
              <w:t>49</w:t>
            </w:r>
          </w:p>
        </w:tc>
      </w:tr>
      <w:tr>
        <w:trPr>
          <w:cantSplit/>
          <w:trHeight w:val="255"/>
        </w:trPr>
        <w:tc>
          <w:tcPr>
            <w:tcW w:w="1774" w:type="dxa"/>
            <w:vAlign w:val="center"/>
          </w:tcPr>
          <w:p>
            <w:pPr>
              <w:keepNext/>
              <w:keepLines/>
              <w:spacing w:before="20" w:after="20"/>
              <w:jc w:val="left"/>
              <w:rPr>
                <w:color w:val="000000"/>
                <w:sz w:val="18"/>
              </w:rPr>
            </w:pPr>
            <w:r>
              <w:rPr>
                <w:color w:val="000000"/>
                <w:sz w:val="18"/>
              </w:rPr>
              <w:t>Firmenkunden</w:t>
            </w:r>
          </w:p>
        </w:tc>
        <w:tc>
          <w:tcPr>
            <w:tcW w:w="1452" w:type="dxa"/>
            <w:shd w:val="clear" w:color="auto" w:fill="auto"/>
            <w:vAlign w:val="center"/>
          </w:tcPr>
          <w:p>
            <w:pPr>
              <w:spacing w:before="20" w:after="20"/>
              <w:ind w:right="114"/>
              <w:jc w:val="right"/>
              <w:rPr>
                <w:sz w:val="18"/>
                <w:szCs w:val="18"/>
              </w:rPr>
            </w:pPr>
            <w:r>
              <w:rPr>
                <w:sz w:val="18"/>
                <w:szCs w:val="18"/>
              </w:rPr>
              <w:t>844</w:t>
            </w:r>
          </w:p>
        </w:tc>
        <w:tc>
          <w:tcPr>
            <w:tcW w:w="805" w:type="dxa"/>
            <w:shd w:val="clear" w:color="auto" w:fill="auto"/>
            <w:vAlign w:val="center"/>
          </w:tcPr>
          <w:p>
            <w:pPr>
              <w:spacing w:before="20" w:after="20"/>
              <w:ind w:right="114"/>
              <w:jc w:val="right"/>
              <w:rPr>
                <w:sz w:val="18"/>
                <w:szCs w:val="18"/>
              </w:rPr>
            </w:pPr>
            <w:r>
              <w:rPr>
                <w:sz w:val="18"/>
                <w:szCs w:val="18"/>
              </w:rPr>
              <w:t>820</w:t>
            </w:r>
          </w:p>
        </w:tc>
        <w:tc>
          <w:tcPr>
            <w:tcW w:w="1130" w:type="dxa"/>
            <w:shd w:val="clear" w:color="auto" w:fill="auto"/>
            <w:vAlign w:val="center"/>
          </w:tcPr>
          <w:p>
            <w:pPr>
              <w:spacing w:before="20" w:after="20"/>
              <w:ind w:right="114"/>
              <w:jc w:val="right"/>
              <w:rPr>
                <w:bCs/>
                <w:color w:val="000000"/>
                <w:sz w:val="18"/>
              </w:rPr>
            </w:pPr>
            <w:r>
              <w:rPr>
                <w:bCs/>
                <w:color w:val="000000"/>
                <w:sz w:val="18"/>
              </w:rPr>
              <w:t>0</w:t>
            </w:r>
          </w:p>
        </w:tc>
        <w:tc>
          <w:tcPr>
            <w:tcW w:w="1290" w:type="dxa"/>
            <w:shd w:val="clear" w:color="auto" w:fill="auto"/>
            <w:vAlign w:val="center"/>
          </w:tcPr>
          <w:p>
            <w:pPr>
              <w:spacing w:before="20" w:after="20"/>
              <w:ind w:right="114"/>
              <w:jc w:val="right"/>
              <w:rPr>
                <w:sz w:val="18"/>
                <w:szCs w:val="18"/>
              </w:rPr>
            </w:pPr>
            <w:r>
              <w:rPr>
                <w:sz w:val="18"/>
                <w:szCs w:val="18"/>
              </w:rPr>
              <w:t>- 182</w:t>
            </w:r>
          </w:p>
        </w:tc>
        <w:tc>
          <w:tcPr>
            <w:tcW w:w="967" w:type="dxa"/>
            <w:shd w:val="clear" w:color="auto" w:fill="auto"/>
            <w:vAlign w:val="center"/>
          </w:tcPr>
          <w:p>
            <w:pPr>
              <w:spacing w:before="20" w:after="20"/>
              <w:ind w:right="114"/>
              <w:jc w:val="right"/>
              <w:rPr>
                <w:bCs/>
                <w:sz w:val="18"/>
              </w:rPr>
            </w:pPr>
            <w:r>
              <w:rPr>
                <w:bCs/>
                <w:sz w:val="18"/>
              </w:rPr>
              <w:t>0</w:t>
            </w:r>
          </w:p>
        </w:tc>
        <w:tc>
          <w:tcPr>
            <w:tcW w:w="1129" w:type="dxa"/>
            <w:vAlign w:val="center"/>
          </w:tcPr>
          <w:p>
            <w:pPr>
              <w:spacing w:before="20" w:after="20"/>
              <w:ind w:right="114"/>
              <w:jc w:val="right"/>
              <w:rPr>
                <w:bCs/>
                <w:color w:val="000000"/>
                <w:sz w:val="18"/>
              </w:rPr>
            </w:pPr>
            <w:r>
              <w:rPr>
                <w:bCs/>
                <w:color w:val="000000"/>
                <w:sz w:val="18"/>
              </w:rPr>
              <w:t>22</w:t>
            </w:r>
          </w:p>
        </w:tc>
      </w:tr>
      <w:tr>
        <w:trPr>
          <w:cantSplit/>
          <w:trHeight w:val="459"/>
        </w:trPr>
        <w:tc>
          <w:tcPr>
            <w:tcW w:w="1774" w:type="dxa"/>
            <w:vAlign w:val="center"/>
          </w:tcPr>
          <w:p>
            <w:pPr>
              <w:keepNext/>
              <w:keepLines/>
              <w:spacing w:before="20" w:after="20"/>
              <w:jc w:val="left"/>
              <w:rPr>
                <w:color w:val="000000"/>
                <w:sz w:val="18"/>
              </w:rPr>
            </w:pPr>
            <w:r>
              <w:rPr>
                <w:color w:val="000000"/>
                <w:sz w:val="18"/>
              </w:rPr>
              <w:t>- Verarbeitendes Gewerbe</w:t>
            </w:r>
          </w:p>
        </w:tc>
        <w:tc>
          <w:tcPr>
            <w:tcW w:w="1452" w:type="dxa"/>
            <w:shd w:val="clear" w:color="auto" w:fill="auto"/>
            <w:vAlign w:val="center"/>
          </w:tcPr>
          <w:p>
            <w:pPr>
              <w:keepNext/>
              <w:keepLines/>
              <w:spacing w:before="20" w:after="20"/>
              <w:ind w:right="114"/>
              <w:jc w:val="right"/>
              <w:rPr>
                <w:bCs/>
                <w:color w:val="000000"/>
                <w:sz w:val="18"/>
              </w:rPr>
            </w:pPr>
            <w:r>
              <w:rPr>
                <w:bCs/>
                <w:color w:val="000000"/>
                <w:sz w:val="18"/>
              </w:rPr>
              <w:t>456</w:t>
            </w:r>
          </w:p>
        </w:tc>
        <w:tc>
          <w:tcPr>
            <w:tcW w:w="805" w:type="dxa"/>
            <w:shd w:val="clear" w:color="auto" w:fill="auto"/>
            <w:vAlign w:val="center"/>
          </w:tcPr>
          <w:p>
            <w:pPr>
              <w:spacing w:before="20" w:after="20"/>
              <w:ind w:right="114"/>
              <w:jc w:val="right"/>
              <w:rPr>
                <w:sz w:val="18"/>
                <w:szCs w:val="18"/>
              </w:rPr>
            </w:pPr>
            <w:r>
              <w:rPr>
                <w:sz w:val="18"/>
                <w:szCs w:val="18"/>
              </w:rPr>
              <w:t>441</w:t>
            </w:r>
          </w:p>
        </w:tc>
        <w:tc>
          <w:tcPr>
            <w:tcW w:w="1130" w:type="dxa"/>
            <w:shd w:val="clear" w:color="auto" w:fill="auto"/>
            <w:vAlign w:val="center"/>
          </w:tcPr>
          <w:p>
            <w:pPr>
              <w:spacing w:before="20" w:after="20"/>
              <w:ind w:right="114"/>
              <w:jc w:val="right"/>
              <w:rPr>
                <w:bCs/>
                <w:color w:val="000000"/>
                <w:sz w:val="18"/>
              </w:rPr>
            </w:pPr>
            <w:r>
              <w:rPr>
                <w:bCs/>
                <w:color w:val="000000"/>
                <w:sz w:val="18"/>
              </w:rPr>
              <w:t>0</w:t>
            </w:r>
          </w:p>
        </w:tc>
        <w:tc>
          <w:tcPr>
            <w:tcW w:w="1290" w:type="dxa"/>
            <w:shd w:val="clear" w:color="auto" w:fill="auto"/>
            <w:vAlign w:val="center"/>
          </w:tcPr>
          <w:p>
            <w:pPr>
              <w:keepNext/>
              <w:keepLines/>
              <w:spacing w:before="20" w:after="20"/>
              <w:ind w:right="114"/>
              <w:jc w:val="right"/>
              <w:rPr>
                <w:bCs/>
                <w:color w:val="000000"/>
                <w:sz w:val="18"/>
                <w:szCs w:val="18"/>
              </w:rPr>
            </w:pPr>
            <w:r>
              <w:rPr>
                <w:bCs/>
                <w:color w:val="000000"/>
                <w:sz w:val="18"/>
                <w:szCs w:val="18"/>
              </w:rPr>
              <w:t>1</w:t>
            </w:r>
          </w:p>
        </w:tc>
        <w:tc>
          <w:tcPr>
            <w:tcW w:w="967" w:type="dxa"/>
            <w:shd w:val="clear" w:color="auto" w:fill="auto"/>
            <w:vAlign w:val="center"/>
          </w:tcPr>
          <w:p>
            <w:pPr>
              <w:spacing w:before="20" w:after="20"/>
              <w:ind w:right="114"/>
              <w:jc w:val="right"/>
              <w:rPr>
                <w:bCs/>
                <w:sz w:val="18"/>
              </w:rPr>
            </w:pPr>
            <w:r>
              <w:rPr>
                <w:bCs/>
                <w:sz w:val="18"/>
              </w:rPr>
              <w:t>0</w:t>
            </w:r>
          </w:p>
        </w:tc>
        <w:tc>
          <w:tcPr>
            <w:tcW w:w="1129" w:type="dxa"/>
            <w:vAlign w:val="center"/>
          </w:tcPr>
          <w:p>
            <w:pPr>
              <w:spacing w:before="20" w:after="20"/>
              <w:ind w:right="114"/>
              <w:jc w:val="right"/>
              <w:rPr>
                <w:bCs/>
                <w:color w:val="000000"/>
                <w:sz w:val="18"/>
              </w:rPr>
            </w:pPr>
            <w:r>
              <w:rPr>
                <w:bCs/>
                <w:color w:val="000000"/>
                <w:sz w:val="18"/>
              </w:rPr>
              <w:t>1</w:t>
            </w:r>
          </w:p>
        </w:tc>
      </w:tr>
      <w:tr>
        <w:trPr>
          <w:cantSplit/>
          <w:trHeight w:val="255"/>
        </w:trPr>
        <w:tc>
          <w:tcPr>
            <w:tcW w:w="1774" w:type="dxa"/>
            <w:vAlign w:val="center"/>
          </w:tcPr>
          <w:p>
            <w:pPr>
              <w:keepNext/>
              <w:keepLines/>
              <w:spacing w:before="20" w:after="20"/>
              <w:jc w:val="left"/>
              <w:rPr>
                <w:color w:val="000000"/>
                <w:sz w:val="18"/>
              </w:rPr>
            </w:pPr>
            <w:r>
              <w:rPr>
                <w:color w:val="000000"/>
                <w:sz w:val="18"/>
              </w:rPr>
              <w:t>- Dienstleistungen</w:t>
            </w:r>
          </w:p>
        </w:tc>
        <w:tc>
          <w:tcPr>
            <w:tcW w:w="1452" w:type="dxa"/>
            <w:shd w:val="clear" w:color="auto" w:fill="auto"/>
            <w:vAlign w:val="center"/>
          </w:tcPr>
          <w:p>
            <w:pPr>
              <w:keepNext/>
              <w:keepLines/>
              <w:spacing w:before="20" w:after="20"/>
              <w:ind w:right="114"/>
              <w:jc w:val="right"/>
              <w:rPr>
                <w:bCs/>
                <w:color w:val="000000"/>
                <w:sz w:val="18"/>
              </w:rPr>
            </w:pPr>
            <w:r>
              <w:rPr>
                <w:bCs/>
                <w:color w:val="000000"/>
                <w:sz w:val="18"/>
              </w:rPr>
              <w:t>188</w:t>
            </w:r>
          </w:p>
        </w:tc>
        <w:tc>
          <w:tcPr>
            <w:tcW w:w="805" w:type="dxa"/>
            <w:shd w:val="clear" w:color="auto" w:fill="auto"/>
            <w:vAlign w:val="center"/>
          </w:tcPr>
          <w:p>
            <w:pPr>
              <w:spacing w:before="20" w:after="20"/>
              <w:ind w:right="114"/>
              <w:jc w:val="right"/>
              <w:rPr>
                <w:sz w:val="18"/>
                <w:szCs w:val="18"/>
              </w:rPr>
            </w:pPr>
            <w:r>
              <w:rPr>
                <w:sz w:val="18"/>
                <w:szCs w:val="18"/>
              </w:rPr>
              <w:t>174</w:t>
            </w:r>
          </w:p>
        </w:tc>
        <w:tc>
          <w:tcPr>
            <w:tcW w:w="1130" w:type="dxa"/>
            <w:shd w:val="clear" w:color="auto" w:fill="auto"/>
            <w:vAlign w:val="center"/>
          </w:tcPr>
          <w:p>
            <w:pPr>
              <w:spacing w:before="20" w:after="20"/>
              <w:ind w:right="114"/>
              <w:jc w:val="right"/>
              <w:rPr>
                <w:bCs/>
                <w:color w:val="000000"/>
                <w:sz w:val="18"/>
              </w:rPr>
            </w:pPr>
            <w:r>
              <w:rPr>
                <w:bCs/>
                <w:color w:val="000000"/>
                <w:sz w:val="18"/>
              </w:rPr>
              <w:t>0</w:t>
            </w:r>
          </w:p>
        </w:tc>
        <w:tc>
          <w:tcPr>
            <w:tcW w:w="1290" w:type="dxa"/>
            <w:shd w:val="clear" w:color="auto" w:fill="auto"/>
            <w:vAlign w:val="center"/>
          </w:tcPr>
          <w:p>
            <w:pPr>
              <w:keepNext/>
              <w:keepLines/>
              <w:spacing w:before="20" w:after="20"/>
              <w:ind w:right="114"/>
              <w:jc w:val="right"/>
              <w:rPr>
                <w:bCs/>
                <w:color w:val="000000"/>
                <w:sz w:val="18"/>
                <w:szCs w:val="18"/>
              </w:rPr>
            </w:pPr>
            <w:r>
              <w:rPr>
                <w:bCs/>
                <w:color w:val="000000"/>
                <w:sz w:val="18"/>
                <w:szCs w:val="18"/>
              </w:rPr>
              <w:t>- 7</w:t>
            </w:r>
          </w:p>
        </w:tc>
        <w:tc>
          <w:tcPr>
            <w:tcW w:w="967" w:type="dxa"/>
            <w:shd w:val="clear" w:color="auto" w:fill="auto"/>
            <w:vAlign w:val="center"/>
          </w:tcPr>
          <w:p>
            <w:pPr>
              <w:spacing w:before="20" w:after="20"/>
              <w:ind w:right="114"/>
              <w:jc w:val="right"/>
              <w:rPr>
                <w:bCs/>
                <w:sz w:val="18"/>
              </w:rPr>
            </w:pPr>
            <w:r>
              <w:rPr>
                <w:bCs/>
                <w:sz w:val="18"/>
              </w:rPr>
              <w:t>0</w:t>
            </w:r>
          </w:p>
        </w:tc>
        <w:tc>
          <w:tcPr>
            <w:tcW w:w="1129" w:type="dxa"/>
            <w:vAlign w:val="center"/>
          </w:tcPr>
          <w:p>
            <w:pPr>
              <w:spacing w:before="20" w:after="20"/>
              <w:ind w:right="114"/>
              <w:jc w:val="right"/>
              <w:rPr>
                <w:bCs/>
                <w:color w:val="000000"/>
                <w:sz w:val="18"/>
              </w:rPr>
            </w:pPr>
            <w:r>
              <w:rPr>
                <w:bCs/>
                <w:color w:val="000000"/>
                <w:sz w:val="18"/>
              </w:rPr>
              <w:t>19</w:t>
            </w:r>
          </w:p>
        </w:tc>
      </w:tr>
      <w:tr>
        <w:trPr>
          <w:cantSplit/>
          <w:trHeight w:val="459"/>
        </w:trPr>
        <w:tc>
          <w:tcPr>
            <w:tcW w:w="1774" w:type="dxa"/>
            <w:vAlign w:val="center"/>
          </w:tcPr>
          <w:p>
            <w:pPr>
              <w:keepNext/>
              <w:keepLines/>
              <w:spacing w:before="20" w:after="20"/>
              <w:jc w:val="left"/>
              <w:rPr>
                <w:color w:val="000000"/>
                <w:sz w:val="18"/>
              </w:rPr>
            </w:pPr>
            <w:r>
              <w:rPr>
                <w:color w:val="000000"/>
                <w:sz w:val="18"/>
              </w:rPr>
              <w:t>- Sonstige Branchen</w:t>
            </w:r>
          </w:p>
        </w:tc>
        <w:tc>
          <w:tcPr>
            <w:tcW w:w="1452" w:type="dxa"/>
            <w:shd w:val="clear" w:color="auto" w:fill="auto"/>
            <w:vAlign w:val="center"/>
          </w:tcPr>
          <w:p>
            <w:pPr>
              <w:keepNext/>
              <w:keepLines/>
              <w:spacing w:before="20" w:after="20"/>
              <w:ind w:right="114"/>
              <w:jc w:val="right"/>
              <w:rPr>
                <w:bCs/>
                <w:color w:val="000000"/>
                <w:sz w:val="18"/>
              </w:rPr>
            </w:pPr>
            <w:r>
              <w:rPr>
                <w:bCs/>
                <w:color w:val="000000"/>
                <w:sz w:val="18"/>
              </w:rPr>
              <w:t>200</w:t>
            </w:r>
          </w:p>
        </w:tc>
        <w:tc>
          <w:tcPr>
            <w:tcW w:w="805" w:type="dxa"/>
            <w:shd w:val="clear" w:color="auto" w:fill="auto"/>
            <w:vAlign w:val="center"/>
          </w:tcPr>
          <w:p>
            <w:pPr>
              <w:spacing w:before="20" w:after="20"/>
              <w:ind w:right="114"/>
              <w:jc w:val="right"/>
              <w:rPr>
                <w:bCs/>
                <w:color w:val="000000"/>
                <w:sz w:val="18"/>
              </w:rPr>
            </w:pPr>
            <w:r>
              <w:rPr>
                <w:bCs/>
                <w:color w:val="000000"/>
                <w:sz w:val="18"/>
              </w:rPr>
              <w:t>186</w:t>
            </w:r>
          </w:p>
        </w:tc>
        <w:tc>
          <w:tcPr>
            <w:tcW w:w="1130" w:type="dxa"/>
            <w:shd w:val="clear" w:color="auto" w:fill="auto"/>
            <w:vAlign w:val="center"/>
          </w:tcPr>
          <w:p>
            <w:pPr>
              <w:spacing w:before="20" w:after="20"/>
              <w:ind w:right="114"/>
              <w:jc w:val="right"/>
              <w:rPr>
                <w:bCs/>
                <w:color w:val="000000"/>
                <w:sz w:val="18"/>
              </w:rPr>
            </w:pPr>
            <w:r>
              <w:rPr>
                <w:bCs/>
                <w:color w:val="000000"/>
                <w:sz w:val="18"/>
              </w:rPr>
              <w:t>0</w:t>
            </w:r>
          </w:p>
        </w:tc>
        <w:tc>
          <w:tcPr>
            <w:tcW w:w="1290" w:type="dxa"/>
            <w:shd w:val="clear" w:color="auto" w:fill="auto"/>
            <w:vAlign w:val="center"/>
          </w:tcPr>
          <w:p>
            <w:pPr>
              <w:keepNext/>
              <w:keepLines/>
              <w:spacing w:before="20" w:after="20"/>
              <w:ind w:right="114"/>
              <w:jc w:val="right"/>
              <w:rPr>
                <w:bCs/>
                <w:color w:val="000000"/>
                <w:sz w:val="18"/>
                <w:szCs w:val="18"/>
              </w:rPr>
            </w:pPr>
            <w:r>
              <w:rPr>
                <w:bCs/>
                <w:color w:val="000000"/>
                <w:sz w:val="18"/>
                <w:szCs w:val="18"/>
              </w:rPr>
              <w:t>- 176</w:t>
            </w:r>
          </w:p>
        </w:tc>
        <w:tc>
          <w:tcPr>
            <w:tcW w:w="967" w:type="dxa"/>
            <w:shd w:val="clear" w:color="auto" w:fill="auto"/>
            <w:vAlign w:val="center"/>
          </w:tcPr>
          <w:p>
            <w:pPr>
              <w:spacing w:before="20" w:after="20"/>
              <w:ind w:right="114"/>
              <w:jc w:val="right"/>
              <w:rPr>
                <w:bCs/>
                <w:sz w:val="18"/>
              </w:rPr>
            </w:pPr>
            <w:r>
              <w:rPr>
                <w:bCs/>
                <w:sz w:val="18"/>
              </w:rPr>
              <w:t>1</w:t>
            </w:r>
          </w:p>
        </w:tc>
        <w:tc>
          <w:tcPr>
            <w:tcW w:w="1129" w:type="dxa"/>
            <w:vAlign w:val="center"/>
          </w:tcPr>
          <w:p>
            <w:pPr>
              <w:spacing w:before="20" w:after="20"/>
              <w:ind w:right="114"/>
              <w:jc w:val="right"/>
              <w:rPr>
                <w:bCs/>
                <w:color w:val="000000"/>
                <w:sz w:val="18"/>
              </w:rPr>
            </w:pPr>
            <w:r>
              <w:rPr>
                <w:bCs/>
                <w:color w:val="000000"/>
                <w:sz w:val="18"/>
              </w:rPr>
              <w:t>2</w:t>
            </w:r>
          </w:p>
        </w:tc>
      </w:tr>
      <w:tr>
        <w:trPr>
          <w:cantSplit/>
          <w:trHeight w:val="306"/>
        </w:trPr>
        <w:tc>
          <w:tcPr>
            <w:tcW w:w="1774" w:type="dxa"/>
            <w:vAlign w:val="center"/>
          </w:tcPr>
          <w:p>
            <w:pPr>
              <w:keepNext/>
              <w:keepLines/>
              <w:spacing w:before="40" w:after="40"/>
              <w:jc w:val="left"/>
              <w:rPr>
                <w:color w:val="000000"/>
                <w:sz w:val="18"/>
              </w:rPr>
            </w:pPr>
            <w:r>
              <w:rPr>
                <w:color w:val="000000"/>
                <w:sz w:val="18"/>
              </w:rPr>
              <w:t>Summe</w:t>
            </w:r>
          </w:p>
        </w:tc>
        <w:tc>
          <w:tcPr>
            <w:tcW w:w="1452" w:type="dxa"/>
            <w:shd w:val="clear" w:color="auto" w:fill="D9D9D9" w:themeFill="background1" w:themeFillShade="D9"/>
            <w:vAlign w:val="center"/>
          </w:tcPr>
          <w:p>
            <w:pPr>
              <w:keepNext/>
              <w:keepLines/>
              <w:spacing w:before="40" w:after="40"/>
              <w:rPr>
                <w:color w:val="000000"/>
                <w:sz w:val="18"/>
              </w:rPr>
            </w:pPr>
          </w:p>
        </w:tc>
        <w:tc>
          <w:tcPr>
            <w:tcW w:w="805" w:type="dxa"/>
            <w:shd w:val="clear" w:color="auto" w:fill="D9D9D9" w:themeFill="background1" w:themeFillShade="D9"/>
            <w:vAlign w:val="center"/>
          </w:tcPr>
          <w:p>
            <w:pPr>
              <w:keepNext/>
              <w:keepLines/>
              <w:spacing w:before="40" w:after="40"/>
              <w:rPr>
                <w:color w:val="000000"/>
                <w:sz w:val="18"/>
              </w:rPr>
            </w:pPr>
          </w:p>
        </w:tc>
        <w:tc>
          <w:tcPr>
            <w:tcW w:w="1130" w:type="dxa"/>
            <w:shd w:val="clear" w:color="auto" w:fill="D9D9D9" w:themeFill="background1" w:themeFillShade="D9"/>
            <w:vAlign w:val="center"/>
          </w:tcPr>
          <w:p>
            <w:pPr>
              <w:keepNext/>
              <w:keepLines/>
              <w:spacing w:before="40" w:after="40"/>
              <w:rPr>
                <w:color w:val="000000"/>
                <w:sz w:val="18"/>
              </w:rPr>
            </w:pPr>
          </w:p>
        </w:tc>
        <w:tc>
          <w:tcPr>
            <w:tcW w:w="1290" w:type="dxa"/>
            <w:shd w:val="clear" w:color="auto" w:fill="D9D9D9" w:themeFill="background1" w:themeFillShade="D9"/>
            <w:vAlign w:val="center"/>
          </w:tcPr>
          <w:p>
            <w:pPr>
              <w:keepNext/>
              <w:keepLines/>
              <w:spacing w:before="40" w:after="40"/>
              <w:jc w:val="right"/>
              <w:rPr>
                <w:color w:val="000000"/>
                <w:sz w:val="18"/>
                <w:szCs w:val="18"/>
              </w:rPr>
            </w:pPr>
          </w:p>
        </w:tc>
        <w:tc>
          <w:tcPr>
            <w:tcW w:w="967" w:type="dxa"/>
            <w:shd w:val="clear" w:color="auto" w:fill="auto"/>
            <w:vAlign w:val="center"/>
          </w:tcPr>
          <w:p>
            <w:pPr>
              <w:spacing w:before="20" w:after="20"/>
              <w:ind w:right="114"/>
              <w:jc w:val="right"/>
              <w:rPr>
                <w:bCs/>
                <w:color w:val="000000"/>
                <w:sz w:val="18"/>
              </w:rPr>
            </w:pPr>
            <w:r>
              <w:rPr>
                <w:bCs/>
                <w:color w:val="000000"/>
                <w:sz w:val="18"/>
              </w:rPr>
              <w:t>1</w:t>
            </w:r>
          </w:p>
        </w:tc>
        <w:tc>
          <w:tcPr>
            <w:tcW w:w="1129" w:type="dxa"/>
            <w:shd w:val="clear" w:color="auto" w:fill="auto"/>
            <w:vAlign w:val="center"/>
          </w:tcPr>
          <w:p>
            <w:pPr>
              <w:spacing w:before="20" w:after="20"/>
              <w:ind w:right="114"/>
              <w:jc w:val="right"/>
              <w:rPr>
                <w:bCs/>
                <w:color w:val="000000"/>
                <w:sz w:val="18"/>
              </w:rPr>
            </w:pPr>
            <w:r>
              <w:rPr>
                <w:bCs/>
                <w:color w:val="000000"/>
                <w:sz w:val="18"/>
              </w:rPr>
              <w:t>71</w:t>
            </w:r>
          </w:p>
        </w:tc>
      </w:tr>
    </w:tbl>
    <w:p>
      <w:pPr>
        <w:pStyle w:val="Randziffer"/>
        <w:numPr>
          <w:ilvl w:val="0"/>
          <w:numId w:val="0"/>
        </w:numPr>
        <w:ind w:left="426"/>
      </w:pPr>
      <w:r>
        <w:t>Alle hier nicht gesondert aufgeführten Branchen haben einen Anteil kleiner 10 % an der Gesamtinanspruchnahme aus notleidenden Krediten.</w:t>
      </w:r>
    </w:p>
    <w:p>
      <w:pPr>
        <w:pStyle w:val="Randziffer"/>
        <w:numPr>
          <w:ilvl w:val="0"/>
          <w:numId w:val="0"/>
        </w:numPr>
        <w:ind w:left="426"/>
      </w:pPr>
      <w:r>
        <w:t xml:space="preserve">Pauschalwertberichtigungen bestanden zum Bilanzstichtag nicht. </w:t>
      </w:r>
    </w:p>
    <w:p>
      <w:pPr>
        <w:pStyle w:val="Randziffer"/>
        <w:numPr>
          <w:ilvl w:val="0"/>
          <w:numId w:val="0"/>
        </w:numPr>
        <w:ind w:left="426"/>
      </w:pPr>
      <w:r>
        <w:t>Die Gesamtinanspruchnahmen aus notleidenden Krediten beziehen sich – aufgrund des regionalen Geschäftsgebietes unserer Bank – ausschließlich auf Deutschland.</w:t>
      </w:r>
    </w:p>
    <w:p>
      <w:pPr>
        <w:pStyle w:val="Randziffer"/>
        <w:numPr>
          <w:ilvl w:val="0"/>
          <w:numId w:val="0"/>
        </w:numPr>
      </w:pPr>
    </w:p>
    <w:p>
      <w:pPr>
        <w:pStyle w:val="Randziffer"/>
        <w:rPr>
          <w:color w:val="000000"/>
        </w:rPr>
      </w:pPr>
      <w:r>
        <w:lastRenderedPageBreak/>
        <w:t>Entwicklung der Risikovorsorge (in TEUR):</w:t>
      </w:r>
    </w:p>
    <w:tbl>
      <w:tblPr>
        <w:tblW w:w="8701"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559"/>
        <w:gridCol w:w="1238"/>
        <w:gridCol w:w="1142"/>
        <w:gridCol w:w="1164"/>
        <w:gridCol w:w="1134"/>
        <w:gridCol w:w="1273"/>
        <w:gridCol w:w="1191"/>
      </w:tblGrid>
      <w:tr>
        <w:trPr>
          <w:cantSplit/>
        </w:trPr>
        <w:tc>
          <w:tcPr>
            <w:tcW w:w="1559" w:type="dxa"/>
            <w:shd w:val="clear" w:color="auto" w:fill="00B0F0"/>
            <w:vAlign w:val="center"/>
          </w:tcPr>
          <w:p>
            <w:pPr>
              <w:keepNext/>
              <w:keepLines/>
              <w:spacing w:before="60" w:after="60"/>
              <w:jc w:val="center"/>
              <w:rPr>
                <w:b/>
                <w:color w:val="FFFFFF" w:themeColor="background1"/>
                <w:sz w:val="18"/>
              </w:rPr>
            </w:pPr>
          </w:p>
        </w:tc>
        <w:tc>
          <w:tcPr>
            <w:tcW w:w="1238" w:type="dxa"/>
            <w:shd w:val="clear" w:color="auto" w:fill="00B0F0"/>
            <w:vAlign w:val="center"/>
          </w:tcPr>
          <w:p>
            <w:pPr>
              <w:keepNext/>
              <w:keepLines/>
              <w:spacing w:before="60" w:after="60"/>
              <w:jc w:val="center"/>
              <w:rPr>
                <w:b/>
                <w:color w:val="FFFFFF" w:themeColor="background1"/>
                <w:sz w:val="16"/>
                <w:szCs w:val="16"/>
              </w:rPr>
            </w:pPr>
            <w:r>
              <w:rPr>
                <w:b/>
                <w:color w:val="FFFFFF" w:themeColor="background1"/>
                <w:sz w:val="16"/>
                <w:szCs w:val="16"/>
              </w:rPr>
              <w:t>Anfangsbestand</w:t>
            </w:r>
            <w:r>
              <w:rPr>
                <w:b/>
                <w:color w:val="FFFFFF" w:themeColor="background1"/>
                <w:sz w:val="16"/>
                <w:szCs w:val="16"/>
              </w:rPr>
              <w:br/>
              <w:t>der Periode</w:t>
            </w:r>
          </w:p>
        </w:tc>
        <w:tc>
          <w:tcPr>
            <w:tcW w:w="1142" w:type="dxa"/>
            <w:shd w:val="clear" w:color="auto" w:fill="00B0F0"/>
            <w:vAlign w:val="center"/>
          </w:tcPr>
          <w:p>
            <w:pPr>
              <w:keepNext/>
              <w:keepLines/>
              <w:spacing w:before="60" w:after="60"/>
              <w:jc w:val="center"/>
              <w:rPr>
                <w:b/>
                <w:color w:val="FFFFFF" w:themeColor="background1"/>
                <w:sz w:val="16"/>
                <w:szCs w:val="16"/>
              </w:rPr>
            </w:pPr>
            <w:r>
              <w:rPr>
                <w:b/>
                <w:color w:val="FFFFFF" w:themeColor="background1"/>
                <w:sz w:val="16"/>
                <w:szCs w:val="16"/>
              </w:rPr>
              <w:t>Zuführungen in der Periode</w:t>
            </w:r>
          </w:p>
        </w:tc>
        <w:tc>
          <w:tcPr>
            <w:tcW w:w="1164" w:type="dxa"/>
            <w:shd w:val="clear" w:color="auto" w:fill="00B0F0"/>
            <w:vAlign w:val="center"/>
          </w:tcPr>
          <w:p>
            <w:pPr>
              <w:keepNext/>
              <w:keepLines/>
              <w:spacing w:before="60" w:after="60"/>
              <w:jc w:val="center"/>
              <w:rPr>
                <w:b/>
                <w:color w:val="FFFFFF" w:themeColor="background1"/>
                <w:sz w:val="16"/>
                <w:szCs w:val="16"/>
              </w:rPr>
            </w:pPr>
            <w:r>
              <w:rPr>
                <w:b/>
                <w:color w:val="FFFFFF" w:themeColor="background1"/>
                <w:sz w:val="16"/>
                <w:szCs w:val="16"/>
              </w:rPr>
              <w:t>Auflösung</w:t>
            </w:r>
          </w:p>
        </w:tc>
        <w:tc>
          <w:tcPr>
            <w:tcW w:w="1134" w:type="dxa"/>
            <w:shd w:val="clear" w:color="auto" w:fill="00B0F0"/>
            <w:vAlign w:val="center"/>
          </w:tcPr>
          <w:p>
            <w:pPr>
              <w:keepNext/>
              <w:keepLines/>
              <w:spacing w:before="60" w:after="60"/>
              <w:jc w:val="center"/>
              <w:rPr>
                <w:b/>
                <w:color w:val="FFFFFF" w:themeColor="background1"/>
                <w:sz w:val="16"/>
                <w:szCs w:val="16"/>
              </w:rPr>
            </w:pPr>
            <w:r>
              <w:rPr>
                <w:b/>
                <w:color w:val="FFFFFF" w:themeColor="background1"/>
                <w:sz w:val="16"/>
                <w:szCs w:val="16"/>
              </w:rPr>
              <w:t>Verbrauch</w:t>
            </w:r>
          </w:p>
        </w:tc>
        <w:tc>
          <w:tcPr>
            <w:tcW w:w="1273" w:type="dxa"/>
            <w:shd w:val="clear" w:color="auto" w:fill="00B0F0"/>
            <w:vAlign w:val="center"/>
          </w:tcPr>
          <w:p>
            <w:pPr>
              <w:keepNext/>
              <w:keepLines/>
              <w:spacing w:before="60" w:after="60"/>
              <w:jc w:val="center"/>
              <w:rPr>
                <w:b/>
                <w:color w:val="FFFFFF" w:themeColor="background1"/>
                <w:sz w:val="16"/>
                <w:szCs w:val="16"/>
              </w:rPr>
            </w:pPr>
            <w:r>
              <w:rPr>
                <w:b/>
                <w:color w:val="FFFFFF" w:themeColor="background1"/>
                <w:sz w:val="16"/>
                <w:szCs w:val="16"/>
              </w:rPr>
              <w:t>Wechselkurs-bedingte</w:t>
            </w:r>
            <w:r>
              <w:rPr>
                <w:b/>
                <w:color w:val="FFFFFF" w:themeColor="background1"/>
                <w:sz w:val="16"/>
                <w:szCs w:val="16"/>
              </w:rPr>
              <w:br/>
              <w:t>und sonstige</w:t>
            </w:r>
            <w:r>
              <w:rPr>
                <w:b/>
                <w:color w:val="FFFFFF" w:themeColor="background1"/>
                <w:sz w:val="16"/>
                <w:szCs w:val="16"/>
              </w:rPr>
              <w:br/>
              <w:t>Veränderungen</w:t>
            </w:r>
          </w:p>
        </w:tc>
        <w:tc>
          <w:tcPr>
            <w:tcW w:w="1191" w:type="dxa"/>
            <w:shd w:val="clear" w:color="auto" w:fill="00B0F0"/>
            <w:vAlign w:val="center"/>
          </w:tcPr>
          <w:p>
            <w:pPr>
              <w:keepNext/>
              <w:keepLines/>
              <w:spacing w:before="60" w:after="60"/>
              <w:jc w:val="center"/>
              <w:rPr>
                <w:b/>
                <w:color w:val="FFFFFF" w:themeColor="background1"/>
                <w:sz w:val="16"/>
                <w:szCs w:val="16"/>
              </w:rPr>
            </w:pPr>
            <w:r>
              <w:rPr>
                <w:b/>
                <w:color w:val="FFFFFF" w:themeColor="background1"/>
                <w:sz w:val="16"/>
                <w:szCs w:val="16"/>
              </w:rPr>
              <w:t>Endbestand der Periode</w:t>
            </w:r>
          </w:p>
        </w:tc>
      </w:tr>
      <w:tr>
        <w:trPr>
          <w:cantSplit/>
          <w:trHeight w:val="339"/>
        </w:trPr>
        <w:tc>
          <w:tcPr>
            <w:tcW w:w="1559" w:type="dxa"/>
            <w:shd w:val="clear" w:color="auto" w:fill="auto"/>
            <w:vAlign w:val="center"/>
          </w:tcPr>
          <w:p>
            <w:pPr>
              <w:keepNext/>
              <w:keepLines/>
              <w:spacing w:before="20" w:after="20"/>
              <w:jc w:val="left"/>
              <w:rPr>
                <w:color w:val="000000"/>
                <w:sz w:val="18"/>
              </w:rPr>
            </w:pPr>
            <w:r>
              <w:rPr>
                <w:color w:val="000000"/>
                <w:sz w:val="18"/>
              </w:rPr>
              <w:t>EWB</w:t>
            </w:r>
          </w:p>
        </w:tc>
        <w:tc>
          <w:tcPr>
            <w:tcW w:w="1238" w:type="dxa"/>
            <w:shd w:val="clear" w:color="auto" w:fill="auto"/>
            <w:vAlign w:val="center"/>
          </w:tcPr>
          <w:p>
            <w:pPr>
              <w:spacing w:before="20" w:after="20"/>
              <w:ind w:right="255"/>
              <w:jc w:val="right"/>
              <w:rPr>
                <w:sz w:val="18"/>
                <w:szCs w:val="18"/>
              </w:rPr>
            </w:pPr>
            <w:r>
              <w:rPr>
                <w:sz w:val="18"/>
                <w:szCs w:val="18"/>
              </w:rPr>
              <w:t>1.068</w:t>
            </w:r>
          </w:p>
        </w:tc>
        <w:tc>
          <w:tcPr>
            <w:tcW w:w="1142" w:type="dxa"/>
            <w:shd w:val="clear" w:color="auto" w:fill="auto"/>
            <w:vAlign w:val="center"/>
          </w:tcPr>
          <w:p>
            <w:pPr>
              <w:spacing w:before="20" w:after="20"/>
              <w:ind w:right="255"/>
              <w:jc w:val="right"/>
              <w:rPr>
                <w:sz w:val="18"/>
                <w:szCs w:val="18"/>
              </w:rPr>
            </w:pPr>
            <w:r>
              <w:rPr>
                <w:sz w:val="18"/>
                <w:szCs w:val="18"/>
              </w:rPr>
              <w:t>332</w:t>
            </w:r>
          </w:p>
        </w:tc>
        <w:tc>
          <w:tcPr>
            <w:tcW w:w="1164" w:type="dxa"/>
            <w:shd w:val="clear" w:color="auto" w:fill="auto"/>
            <w:vAlign w:val="center"/>
          </w:tcPr>
          <w:p>
            <w:pPr>
              <w:keepNext/>
              <w:keepLines/>
              <w:spacing w:before="20" w:after="20"/>
              <w:ind w:right="255"/>
              <w:jc w:val="right"/>
              <w:rPr>
                <w:sz w:val="18"/>
                <w:szCs w:val="18"/>
              </w:rPr>
            </w:pPr>
            <w:r>
              <w:rPr>
                <w:sz w:val="18"/>
                <w:szCs w:val="18"/>
              </w:rPr>
              <w:t>271</w:t>
            </w:r>
          </w:p>
        </w:tc>
        <w:tc>
          <w:tcPr>
            <w:tcW w:w="1134" w:type="dxa"/>
            <w:shd w:val="clear" w:color="auto" w:fill="auto"/>
            <w:vAlign w:val="center"/>
          </w:tcPr>
          <w:p>
            <w:pPr>
              <w:spacing w:before="20" w:after="20"/>
              <w:ind w:right="255"/>
              <w:jc w:val="right"/>
              <w:rPr>
                <w:sz w:val="18"/>
                <w:szCs w:val="18"/>
              </w:rPr>
            </w:pPr>
            <w:r>
              <w:rPr>
                <w:sz w:val="18"/>
                <w:szCs w:val="18"/>
              </w:rPr>
              <w:t>1</w:t>
            </w:r>
          </w:p>
        </w:tc>
        <w:tc>
          <w:tcPr>
            <w:tcW w:w="1273" w:type="dxa"/>
            <w:shd w:val="clear" w:color="auto" w:fill="auto"/>
            <w:vAlign w:val="center"/>
          </w:tcPr>
          <w:p>
            <w:pPr>
              <w:spacing w:before="20" w:after="20"/>
              <w:ind w:right="255"/>
              <w:jc w:val="right"/>
              <w:rPr>
                <w:sz w:val="18"/>
                <w:szCs w:val="18"/>
              </w:rPr>
            </w:pPr>
            <w:r>
              <w:rPr>
                <w:rFonts w:cs="Arial"/>
                <w:sz w:val="18"/>
                <w:szCs w:val="18"/>
              </w:rPr>
              <w:t>0</w:t>
            </w:r>
          </w:p>
        </w:tc>
        <w:tc>
          <w:tcPr>
            <w:tcW w:w="1191" w:type="dxa"/>
            <w:shd w:val="clear" w:color="auto" w:fill="auto"/>
            <w:vAlign w:val="center"/>
          </w:tcPr>
          <w:p>
            <w:pPr>
              <w:spacing w:before="20" w:after="20"/>
              <w:ind w:right="255"/>
              <w:jc w:val="right"/>
              <w:rPr>
                <w:sz w:val="18"/>
                <w:szCs w:val="18"/>
              </w:rPr>
            </w:pPr>
            <w:r>
              <w:rPr>
                <w:sz w:val="18"/>
                <w:szCs w:val="18"/>
              </w:rPr>
              <w:t>1.128</w:t>
            </w:r>
          </w:p>
        </w:tc>
      </w:tr>
      <w:tr>
        <w:trPr>
          <w:cantSplit/>
          <w:trHeight w:val="387"/>
        </w:trPr>
        <w:tc>
          <w:tcPr>
            <w:tcW w:w="1559" w:type="dxa"/>
            <w:shd w:val="clear" w:color="auto" w:fill="auto"/>
            <w:vAlign w:val="center"/>
          </w:tcPr>
          <w:p>
            <w:pPr>
              <w:keepNext/>
              <w:keepLines/>
              <w:spacing w:before="20" w:after="20"/>
              <w:jc w:val="left"/>
              <w:rPr>
                <w:color w:val="000000"/>
                <w:sz w:val="18"/>
              </w:rPr>
            </w:pPr>
            <w:r>
              <w:rPr>
                <w:color w:val="000000"/>
                <w:sz w:val="18"/>
              </w:rPr>
              <w:t>Rückstellungen</w:t>
            </w:r>
          </w:p>
        </w:tc>
        <w:tc>
          <w:tcPr>
            <w:tcW w:w="1238" w:type="dxa"/>
            <w:shd w:val="clear" w:color="auto" w:fill="auto"/>
          </w:tcPr>
          <w:p>
            <w:pPr>
              <w:spacing w:before="20" w:after="20"/>
              <w:ind w:right="255"/>
              <w:jc w:val="right"/>
              <w:rPr>
                <w:sz w:val="18"/>
                <w:szCs w:val="18"/>
              </w:rPr>
            </w:pPr>
            <w:r>
              <w:rPr>
                <w:rFonts w:cs="Arial"/>
                <w:sz w:val="18"/>
                <w:szCs w:val="18"/>
              </w:rPr>
              <w:t>0</w:t>
            </w:r>
          </w:p>
        </w:tc>
        <w:tc>
          <w:tcPr>
            <w:tcW w:w="1142" w:type="dxa"/>
            <w:shd w:val="clear" w:color="auto" w:fill="auto"/>
          </w:tcPr>
          <w:p>
            <w:pPr>
              <w:spacing w:before="20" w:after="20"/>
              <w:ind w:right="255"/>
              <w:jc w:val="right"/>
              <w:rPr>
                <w:sz w:val="18"/>
                <w:szCs w:val="18"/>
              </w:rPr>
            </w:pPr>
            <w:r>
              <w:rPr>
                <w:rFonts w:cs="Arial"/>
                <w:sz w:val="18"/>
                <w:szCs w:val="18"/>
              </w:rPr>
              <w:t>0</w:t>
            </w:r>
          </w:p>
        </w:tc>
        <w:tc>
          <w:tcPr>
            <w:tcW w:w="1164" w:type="dxa"/>
            <w:shd w:val="clear" w:color="auto" w:fill="auto"/>
          </w:tcPr>
          <w:p>
            <w:pPr>
              <w:keepNext/>
              <w:keepLines/>
              <w:spacing w:before="20" w:after="20"/>
              <w:ind w:right="255"/>
              <w:jc w:val="right"/>
              <w:rPr>
                <w:sz w:val="18"/>
                <w:szCs w:val="18"/>
              </w:rPr>
            </w:pPr>
            <w:r>
              <w:rPr>
                <w:rFonts w:cs="Arial"/>
                <w:sz w:val="18"/>
                <w:szCs w:val="18"/>
              </w:rPr>
              <w:t>0</w:t>
            </w:r>
          </w:p>
        </w:tc>
        <w:tc>
          <w:tcPr>
            <w:tcW w:w="1134" w:type="dxa"/>
            <w:shd w:val="clear" w:color="auto" w:fill="auto"/>
          </w:tcPr>
          <w:p>
            <w:pPr>
              <w:spacing w:before="20" w:after="20"/>
              <w:ind w:right="255"/>
              <w:jc w:val="right"/>
              <w:rPr>
                <w:sz w:val="18"/>
                <w:szCs w:val="18"/>
              </w:rPr>
            </w:pPr>
            <w:r>
              <w:rPr>
                <w:rFonts w:cs="Arial"/>
                <w:sz w:val="18"/>
                <w:szCs w:val="18"/>
              </w:rPr>
              <w:t>0</w:t>
            </w:r>
          </w:p>
        </w:tc>
        <w:tc>
          <w:tcPr>
            <w:tcW w:w="1273" w:type="dxa"/>
            <w:shd w:val="clear" w:color="auto" w:fill="auto"/>
          </w:tcPr>
          <w:p>
            <w:pPr>
              <w:spacing w:before="20" w:after="20"/>
              <w:ind w:right="255"/>
              <w:jc w:val="right"/>
              <w:rPr>
                <w:sz w:val="18"/>
                <w:szCs w:val="18"/>
              </w:rPr>
            </w:pPr>
            <w:r>
              <w:rPr>
                <w:rFonts w:cs="Arial"/>
                <w:sz w:val="18"/>
                <w:szCs w:val="18"/>
              </w:rPr>
              <w:t>0</w:t>
            </w:r>
          </w:p>
        </w:tc>
        <w:tc>
          <w:tcPr>
            <w:tcW w:w="1191" w:type="dxa"/>
            <w:shd w:val="clear" w:color="auto" w:fill="auto"/>
          </w:tcPr>
          <w:p>
            <w:pPr>
              <w:spacing w:before="20" w:after="20"/>
              <w:ind w:right="255"/>
              <w:jc w:val="right"/>
              <w:rPr>
                <w:sz w:val="18"/>
                <w:szCs w:val="18"/>
              </w:rPr>
            </w:pPr>
            <w:r>
              <w:rPr>
                <w:rFonts w:cs="Arial"/>
                <w:sz w:val="18"/>
                <w:szCs w:val="18"/>
              </w:rPr>
              <w:t>0</w:t>
            </w:r>
          </w:p>
        </w:tc>
      </w:tr>
      <w:tr>
        <w:trPr>
          <w:cantSplit/>
          <w:trHeight w:val="393"/>
        </w:trPr>
        <w:tc>
          <w:tcPr>
            <w:tcW w:w="1559" w:type="dxa"/>
            <w:shd w:val="clear" w:color="auto" w:fill="auto"/>
            <w:vAlign w:val="center"/>
          </w:tcPr>
          <w:p>
            <w:pPr>
              <w:keepNext/>
              <w:keepLines/>
              <w:spacing w:before="20" w:after="20"/>
              <w:jc w:val="left"/>
              <w:rPr>
                <w:color w:val="000000"/>
                <w:sz w:val="18"/>
              </w:rPr>
            </w:pPr>
            <w:r>
              <w:rPr>
                <w:color w:val="000000"/>
                <w:sz w:val="18"/>
              </w:rPr>
              <w:t>PWB</w:t>
            </w:r>
          </w:p>
        </w:tc>
        <w:tc>
          <w:tcPr>
            <w:tcW w:w="1238" w:type="dxa"/>
            <w:shd w:val="clear" w:color="auto" w:fill="auto"/>
          </w:tcPr>
          <w:p>
            <w:pPr>
              <w:keepNext/>
              <w:keepLines/>
              <w:spacing w:before="20" w:after="20"/>
              <w:ind w:right="255"/>
              <w:jc w:val="right"/>
              <w:rPr>
                <w:bCs/>
                <w:color w:val="000000"/>
                <w:sz w:val="18"/>
                <w:szCs w:val="18"/>
              </w:rPr>
            </w:pPr>
            <w:r>
              <w:rPr>
                <w:rFonts w:cs="Arial"/>
                <w:sz w:val="18"/>
                <w:szCs w:val="18"/>
              </w:rPr>
              <w:t>0</w:t>
            </w:r>
          </w:p>
        </w:tc>
        <w:tc>
          <w:tcPr>
            <w:tcW w:w="1142" w:type="dxa"/>
            <w:shd w:val="clear" w:color="auto" w:fill="auto"/>
          </w:tcPr>
          <w:p>
            <w:pPr>
              <w:spacing w:before="20" w:after="20"/>
              <w:ind w:right="255"/>
              <w:jc w:val="right"/>
              <w:rPr>
                <w:sz w:val="18"/>
                <w:szCs w:val="18"/>
              </w:rPr>
            </w:pPr>
            <w:r>
              <w:rPr>
                <w:rFonts w:cs="Arial"/>
                <w:sz w:val="18"/>
                <w:szCs w:val="18"/>
              </w:rPr>
              <w:t>0</w:t>
            </w:r>
          </w:p>
        </w:tc>
        <w:tc>
          <w:tcPr>
            <w:tcW w:w="1164" w:type="dxa"/>
            <w:shd w:val="clear" w:color="auto" w:fill="auto"/>
          </w:tcPr>
          <w:p>
            <w:pPr>
              <w:spacing w:before="20" w:after="20"/>
              <w:ind w:right="255"/>
              <w:jc w:val="right"/>
              <w:rPr>
                <w:sz w:val="18"/>
                <w:szCs w:val="18"/>
              </w:rPr>
            </w:pPr>
            <w:r>
              <w:rPr>
                <w:rFonts w:cs="Arial"/>
                <w:sz w:val="18"/>
                <w:szCs w:val="18"/>
              </w:rPr>
              <w:t>0</w:t>
            </w:r>
          </w:p>
        </w:tc>
        <w:tc>
          <w:tcPr>
            <w:tcW w:w="1134" w:type="dxa"/>
            <w:shd w:val="clear" w:color="auto" w:fill="auto"/>
          </w:tcPr>
          <w:p>
            <w:pPr>
              <w:spacing w:before="20" w:after="20"/>
              <w:ind w:right="255"/>
              <w:jc w:val="right"/>
              <w:rPr>
                <w:sz w:val="18"/>
                <w:szCs w:val="18"/>
              </w:rPr>
            </w:pPr>
            <w:r>
              <w:rPr>
                <w:rFonts w:cs="Arial"/>
                <w:sz w:val="18"/>
                <w:szCs w:val="18"/>
              </w:rPr>
              <w:t>0</w:t>
            </w:r>
          </w:p>
        </w:tc>
        <w:tc>
          <w:tcPr>
            <w:tcW w:w="1273" w:type="dxa"/>
            <w:shd w:val="clear" w:color="auto" w:fill="auto"/>
          </w:tcPr>
          <w:p>
            <w:pPr>
              <w:spacing w:before="20" w:after="20"/>
              <w:ind w:right="255"/>
              <w:jc w:val="right"/>
              <w:rPr>
                <w:sz w:val="18"/>
                <w:szCs w:val="18"/>
              </w:rPr>
            </w:pPr>
            <w:r>
              <w:rPr>
                <w:rFonts w:cs="Arial"/>
                <w:sz w:val="18"/>
                <w:szCs w:val="18"/>
              </w:rPr>
              <w:t>0</w:t>
            </w:r>
          </w:p>
        </w:tc>
        <w:tc>
          <w:tcPr>
            <w:tcW w:w="1191" w:type="dxa"/>
            <w:shd w:val="clear" w:color="auto" w:fill="auto"/>
          </w:tcPr>
          <w:p>
            <w:pPr>
              <w:spacing w:before="20" w:after="20"/>
              <w:ind w:right="255"/>
              <w:jc w:val="right"/>
              <w:rPr>
                <w:sz w:val="18"/>
                <w:szCs w:val="18"/>
              </w:rPr>
            </w:pPr>
            <w:r>
              <w:rPr>
                <w:rFonts w:cs="Arial"/>
                <w:sz w:val="18"/>
                <w:szCs w:val="18"/>
              </w:rPr>
              <w:t>0</w:t>
            </w:r>
          </w:p>
        </w:tc>
      </w:tr>
    </w:tbl>
    <w:p>
      <w:pPr>
        <w:pStyle w:val="Randziffer"/>
        <w:numPr>
          <w:ilvl w:val="0"/>
          <w:numId w:val="0"/>
        </w:numPr>
        <w:ind w:left="360"/>
      </w:pPr>
    </w:p>
    <w:p>
      <w:pPr>
        <w:pStyle w:val="Randziffer"/>
      </w:pPr>
      <w:r>
        <w:t xml:space="preserve">Gemäß Art. 138 CRR wurden für die Ermittlung der Risikogewichte die Ratingagenturen Standard &amp; </w:t>
      </w:r>
      <w:proofErr w:type="spellStart"/>
      <w:r>
        <w:t>Poor's</w:t>
      </w:r>
      <w:proofErr w:type="spellEnd"/>
      <w:r>
        <w:t>, Moody's und Fitch nominiert. Der Gesamtbetrag der ausstehenden Positionswerte vor und nach Anwendung von Kreditrisikominderungstechniken ergibt sich für jede Risikoklasse wie folgt:</w:t>
      </w:r>
      <w:r>
        <w:rPr>
          <w:rStyle w:val="Funotenzeichen"/>
        </w:rPr>
        <w:footnoteReference w:id="4"/>
      </w:r>
    </w:p>
    <w:tbl>
      <w:tblPr>
        <w:tblW w:w="0" w:type="auto"/>
        <w:tblInd w:w="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695"/>
        <w:gridCol w:w="3150"/>
        <w:gridCol w:w="3150"/>
      </w:tblGrid>
      <w:tr>
        <w:tc>
          <w:tcPr>
            <w:tcW w:w="1695" w:type="dxa"/>
            <w:vMerge w:val="restart"/>
            <w:shd w:val="clear" w:color="auto" w:fill="00B0F0"/>
            <w:vAlign w:val="center"/>
          </w:tcPr>
          <w:p>
            <w:pPr>
              <w:keepNext/>
              <w:keepLines/>
              <w:spacing w:before="20" w:after="20"/>
              <w:jc w:val="center"/>
              <w:rPr>
                <w:rFonts w:cs="Arial"/>
                <w:b/>
                <w:bCs/>
                <w:color w:val="FFFFFF"/>
                <w:sz w:val="18"/>
              </w:rPr>
            </w:pPr>
            <w:r>
              <w:rPr>
                <w:rFonts w:cs="Arial"/>
                <w:b/>
                <w:bCs/>
                <w:color w:val="FFFFFF" w:themeColor="background1"/>
                <w:sz w:val="18"/>
              </w:rPr>
              <w:t>Risiko-</w:t>
            </w:r>
            <w:r>
              <w:rPr>
                <w:rFonts w:cs="Arial"/>
                <w:b/>
                <w:bCs/>
                <w:color w:val="FFFFFF" w:themeColor="background1"/>
                <w:sz w:val="18"/>
              </w:rPr>
              <w:br/>
            </w:r>
            <w:proofErr w:type="spellStart"/>
            <w:r>
              <w:rPr>
                <w:rFonts w:cs="Arial"/>
                <w:b/>
                <w:bCs/>
                <w:color w:val="FFFFFF" w:themeColor="background1"/>
                <w:sz w:val="18"/>
              </w:rPr>
              <w:t>gewicht</w:t>
            </w:r>
            <w:proofErr w:type="spellEnd"/>
            <w:r>
              <w:rPr>
                <w:rFonts w:cs="Arial"/>
                <w:b/>
                <w:bCs/>
                <w:color w:val="FFFFFF" w:themeColor="background1"/>
                <w:sz w:val="18"/>
              </w:rPr>
              <w:br/>
              <w:t>in %</w:t>
            </w:r>
          </w:p>
        </w:tc>
        <w:tc>
          <w:tcPr>
            <w:tcW w:w="6300" w:type="dxa"/>
            <w:gridSpan w:val="2"/>
            <w:shd w:val="clear" w:color="auto" w:fill="00B0F0"/>
            <w:vAlign w:val="center"/>
          </w:tcPr>
          <w:p>
            <w:pPr>
              <w:keepNext/>
              <w:keepLines/>
              <w:spacing w:before="20" w:after="20"/>
              <w:jc w:val="center"/>
              <w:rPr>
                <w:rFonts w:cs="Arial"/>
                <w:b/>
                <w:bCs/>
                <w:color w:val="FFFFFF"/>
                <w:sz w:val="18"/>
              </w:rPr>
            </w:pPr>
            <w:r>
              <w:rPr>
                <w:rFonts w:cs="Arial"/>
                <w:b/>
                <w:bCs/>
                <w:color w:val="FFFFFF"/>
                <w:sz w:val="18"/>
              </w:rPr>
              <w:t xml:space="preserve">Gesamtsumme der Risikopositionswerte </w:t>
            </w:r>
            <w:r>
              <w:rPr>
                <w:rFonts w:cs="Arial"/>
                <w:bCs/>
                <w:color w:val="FFFFFF"/>
                <w:sz w:val="16"/>
              </w:rPr>
              <w:t>(Standardansatz; in TEUR)</w:t>
            </w:r>
          </w:p>
        </w:tc>
      </w:tr>
      <w:tr>
        <w:tc>
          <w:tcPr>
            <w:tcW w:w="1695" w:type="dxa"/>
            <w:vMerge/>
            <w:shd w:val="clear" w:color="auto" w:fill="00B0F0"/>
            <w:vAlign w:val="center"/>
          </w:tcPr>
          <w:p>
            <w:pPr>
              <w:keepNext/>
              <w:keepLines/>
              <w:spacing w:before="20" w:after="20"/>
              <w:rPr>
                <w:rFonts w:cs="Arial"/>
                <w:b/>
                <w:bCs/>
                <w:sz w:val="18"/>
              </w:rPr>
            </w:pPr>
          </w:p>
        </w:tc>
        <w:tc>
          <w:tcPr>
            <w:tcW w:w="3150" w:type="dxa"/>
            <w:shd w:val="clear" w:color="auto" w:fill="D9D9D9" w:themeFill="background1" w:themeFillShade="D9"/>
            <w:vAlign w:val="center"/>
          </w:tcPr>
          <w:p>
            <w:pPr>
              <w:keepNext/>
              <w:keepLines/>
              <w:spacing w:before="20" w:after="20"/>
              <w:jc w:val="center"/>
              <w:rPr>
                <w:rFonts w:cs="Arial"/>
                <w:b/>
                <w:bCs/>
                <w:sz w:val="16"/>
              </w:rPr>
            </w:pPr>
            <w:r>
              <w:rPr>
                <w:rFonts w:cs="Arial"/>
                <w:b/>
                <w:bCs/>
                <w:sz w:val="16"/>
              </w:rPr>
              <w:t>vor Kreditrisikominderung</w:t>
            </w:r>
          </w:p>
        </w:tc>
        <w:tc>
          <w:tcPr>
            <w:tcW w:w="3150" w:type="dxa"/>
            <w:shd w:val="clear" w:color="auto" w:fill="D9D9D9" w:themeFill="background1" w:themeFillShade="D9"/>
            <w:vAlign w:val="center"/>
          </w:tcPr>
          <w:p>
            <w:pPr>
              <w:keepNext/>
              <w:keepLines/>
              <w:spacing w:before="20" w:after="20"/>
              <w:jc w:val="center"/>
              <w:rPr>
                <w:rFonts w:cs="Arial"/>
                <w:b/>
                <w:bCs/>
                <w:sz w:val="16"/>
              </w:rPr>
            </w:pPr>
            <w:r>
              <w:rPr>
                <w:rFonts w:cs="Arial"/>
                <w:b/>
                <w:bCs/>
                <w:sz w:val="16"/>
              </w:rPr>
              <w:t>nach Kreditrisikominderung</w:t>
            </w:r>
          </w:p>
        </w:tc>
      </w:tr>
      <w:tr>
        <w:tc>
          <w:tcPr>
            <w:tcW w:w="1695" w:type="dxa"/>
            <w:shd w:val="clear" w:color="auto" w:fill="auto"/>
            <w:vAlign w:val="center"/>
          </w:tcPr>
          <w:p>
            <w:pPr>
              <w:keepNext/>
              <w:keepLines/>
              <w:spacing w:before="20" w:after="20"/>
              <w:jc w:val="center"/>
              <w:rPr>
                <w:rFonts w:cs="Arial"/>
                <w:bCs/>
                <w:sz w:val="18"/>
              </w:rPr>
            </w:pPr>
            <w:r>
              <w:rPr>
                <w:rFonts w:cs="Arial"/>
                <w:bCs/>
                <w:sz w:val="18"/>
              </w:rPr>
              <w:t>0</w:t>
            </w:r>
          </w:p>
        </w:tc>
        <w:tc>
          <w:tcPr>
            <w:tcW w:w="3150" w:type="dxa"/>
            <w:shd w:val="clear" w:color="auto" w:fill="auto"/>
            <w:vAlign w:val="bottom"/>
          </w:tcPr>
          <w:p>
            <w:pPr>
              <w:keepNext/>
              <w:keepLines/>
              <w:spacing w:before="20" w:after="20"/>
              <w:ind w:right="255"/>
              <w:jc w:val="right"/>
              <w:rPr>
                <w:rFonts w:cs="Arial"/>
                <w:sz w:val="18"/>
              </w:rPr>
            </w:pPr>
            <w:r>
              <w:rPr>
                <w:rFonts w:cs="Arial"/>
                <w:sz w:val="18"/>
              </w:rPr>
              <w:t>80.413</w:t>
            </w:r>
          </w:p>
        </w:tc>
        <w:tc>
          <w:tcPr>
            <w:tcW w:w="3150" w:type="dxa"/>
            <w:shd w:val="clear" w:color="auto" w:fill="auto"/>
            <w:vAlign w:val="bottom"/>
          </w:tcPr>
          <w:p>
            <w:pPr>
              <w:keepNext/>
              <w:keepLines/>
              <w:spacing w:before="20" w:after="20"/>
              <w:ind w:right="255"/>
              <w:jc w:val="right"/>
              <w:rPr>
                <w:rFonts w:cs="Arial"/>
                <w:sz w:val="18"/>
              </w:rPr>
            </w:pPr>
            <w:r>
              <w:rPr>
                <w:rFonts w:cs="Arial"/>
                <w:sz w:val="18"/>
              </w:rPr>
              <w:t>88.366</w:t>
            </w:r>
          </w:p>
        </w:tc>
      </w:tr>
      <w:tr>
        <w:tc>
          <w:tcPr>
            <w:tcW w:w="1695" w:type="dxa"/>
            <w:shd w:val="clear" w:color="auto" w:fill="auto"/>
            <w:vAlign w:val="center"/>
          </w:tcPr>
          <w:p>
            <w:pPr>
              <w:keepNext/>
              <w:keepLines/>
              <w:spacing w:before="20" w:after="20"/>
              <w:jc w:val="center"/>
              <w:rPr>
                <w:rFonts w:cs="Arial"/>
                <w:bCs/>
                <w:sz w:val="18"/>
              </w:rPr>
            </w:pPr>
            <w:r>
              <w:rPr>
                <w:rFonts w:cs="Arial"/>
                <w:bCs/>
                <w:sz w:val="18"/>
              </w:rPr>
              <w:t>2</w:t>
            </w:r>
          </w:p>
        </w:tc>
        <w:tc>
          <w:tcPr>
            <w:tcW w:w="3150" w:type="dxa"/>
            <w:shd w:val="clear" w:color="auto" w:fill="auto"/>
            <w:vAlign w:val="bottom"/>
          </w:tcPr>
          <w:p>
            <w:pPr>
              <w:keepNext/>
              <w:keepLines/>
              <w:spacing w:before="20" w:after="20"/>
              <w:ind w:right="255"/>
              <w:jc w:val="right"/>
              <w:rPr>
                <w:rFonts w:cs="Arial"/>
                <w:sz w:val="18"/>
              </w:rPr>
            </w:pPr>
            <w:r>
              <w:rPr>
                <w:rFonts w:cs="Arial"/>
                <w:sz w:val="18"/>
              </w:rPr>
              <w:t>0</w:t>
            </w:r>
          </w:p>
        </w:tc>
        <w:tc>
          <w:tcPr>
            <w:tcW w:w="3150" w:type="dxa"/>
            <w:shd w:val="clear" w:color="auto" w:fill="auto"/>
            <w:vAlign w:val="bottom"/>
          </w:tcPr>
          <w:p>
            <w:pPr>
              <w:keepNext/>
              <w:keepLines/>
              <w:spacing w:before="20" w:after="20"/>
              <w:ind w:right="255"/>
              <w:jc w:val="right"/>
              <w:rPr>
                <w:rFonts w:cs="Arial"/>
                <w:sz w:val="18"/>
              </w:rPr>
            </w:pPr>
            <w:r>
              <w:rPr>
                <w:rFonts w:cs="Arial"/>
                <w:sz w:val="18"/>
              </w:rPr>
              <w:t>0</w:t>
            </w:r>
          </w:p>
        </w:tc>
      </w:tr>
      <w:tr>
        <w:tc>
          <w:tcPr>
            <w:tcW w:w="1695" w:type="dxa"/>
            <w:shd w:val="clear" w:color="auto" w:fill="auto"/>
            <w:vAlign w:val="center"/>
          </w:tcPr>
          <w:p>
            <w:pPr>
              <w:keepNext/>
              <w:keepLines/>
              <w:spacing w:before="20" w:after="20"/>
              <w:jc w:val="center"/>
              <w:rPr>
                <w:rFonts w:cs="Arial"/>
                <w:bCs/>
                <w:sz w:val="18"/>
              </w:rPr>
            </w:pPr>
            <w:r>
              <w:rPr>
                <w:rFonts w:cs="Arial"/>
                <w:bCs/>
                <w:sz w:val="18"/>
              </w:rPr>
              <w:t>4</w:t>
            </w:r>
          </w:p>
        </w:tc>
        <w:tc>
          <w:tcPr>
            <w:tcW w:w="3150" w:type="dxa"/>
            <w:shd w:val="clear" w:color="auto" w:fill="auto"/>
            <w:vAlign w:val="bottom"/>
          </w:tcPr>
          <w:p>
            <w:pPr>
              <w:keepNext/>
              <w:keepLines/>
              <w:spacing w:before="20" w:after="20"/>
              <w:ind w:right="255"/>
              <w:jc w:val="right"/>
              <w:rPr>
                <w:rFonts w:cs="Arial"/>
                <w:sz w:val="18"/>
              </w:rPr>
            </w:pPr>
            <w:r>
              <w:rPr>
                <w:rFonts w:cs="Arial"/>
                <w:sz w:val="18"/>
              </w:rPr>
              <w:t>0</w:t>
            </w:r>
          </w:p>
        </w:tc>
        <w:tc>
          <w:tcPr>
            <w:tcW w:w="3150" w:type="dxa"/>
            <w:shd w:val="clear" w:color="auto" w:fill="auto"/>
            <w:vAlign w:val="bottom"/>
          </w:tcPr>
          <w:p>
            <w:pPr>
              <w:keepNext/>
              <w:keepLines/>
              <w:spacing w:before="20" w:after="20"/>
              <w:ind w:right="255"/>
              <w:jc w:val="right"/>
              <w:rPr>
                <w:rFonts w:cs="Arial"/>
                <w:sz w:val="18"/>
              </w:rPr>
            </w:pPr>
            <w:r>
              <w:rPr>
                <w:rFonts w:cs="Arial"/>
                <w:sz w:val="18"/>
              </w:rPr>
              <w:t>0</w:t>
            </w:r>
          </w:p>
        </w:tc>
      </w:tr>
      <w:tr>
        <w:tc>
          <w:tcPr>
            <w:tcW w:w="1695" w:type="dxa"/>
            <w:shd w:val="clear" w:color="auto" w:fill="auto"/>
            <w:vAlign w:val="center"/>
          </w:tcPr>
          <w:p>
            <w:pPr>
              <w:keepNext/>
              <w:keepLines/>
              <w:spacing w:before="20" w:after="20"/>
              <w:jc w:val="center"/>
              <w:rPr>
                <w:rFonts w:cs="Arial"/>
                <w:bCs/>
                <w:sz w:val="18"/>
              </w:rPr>
            </w:pPr>
            <w:r>
              <w:rPr>
                <w:rFonts w:cs="Arial"/>
                <w:bCs/>
                <w:sz w:val="18"/>
              </w:rPr>
              <w:t>10</w:t>
            </w:r>
          </w:p>
        </w:tc>
        <w:tc>
          <w:tcPr>
            <w:tcW w:w="3150" w:type="dxa"/>
            <w:shd w:val="clear" w:color="auto" w:fill="auto"/>
            <w:vAlign w:val="bottom"/>
          </w:tcPr>
          <w:p>
            <w:pPr>
              <w:keepNext/>
              <w:keepLines/>
              <w:spacing w:before="20" w:after="20"/>
              <w:ind w:right="255"/>
              <w:jc w:val="right"/>
              <w:rPr>
                <w:rFonts w:cs="Arial"/>
                <w:sz w:val="18"/>
              </w:rPr>
            </w:pPr>
            <w:r>
              <w:rPr>
                <w:rFonts w:cs="Arial"/>
                <w:sz w:val="18"/>
              </w:rPr>
              <w:t>12.490</w:t>
            </w:r>
          </w:p>
        </w:tc>
        <w:tc>
          <w:tcPr>
            <w:tcW w:w="3150" w:type="dxa"/>
            <w:shd w:val="clear" w:color="auto" w:fill="auto"/>
            <w:vAlign w:val="bottom"/>
          </w:tcPr>
          <w:p>
            <w:pPr>
              <w:keepNext/>
              <w:keepLines/>
              <w:spacing w:before="20" w:after="20"/>
              <w:ind w:right="255"/>
              <w:jc w:val="right"/>
              <w:rPr>
                <w:rFonts w:cs="Arial"/>
                <w:sz w:val="18"/>
              </w:rPr>
            </w:pPr>
            <w:r>
              <w:rPr>
                <w:rFonts w:cs="Arial"/>
                <w:sz w:val="18"/>
              </w:rPr>
              <w:t>12.490</w:t>
            </w:r>
          </w:p>
        </w:tc>
      </w:tr>
      <w:tr>
        <w:tc>
          <w:tcPr>
            <w:tcW w:w="1695" w:type="dxa"/>
            <w:shd w:val="clear" w:color="auto" w:fill="auto"/>
            <w:vAlign w:val="center"/>
          </w:tcPr>
          <w:p>
            <w:pPr>
              <w:keepNext/>
              <w:keepLines/>
              <w:spacing w:before="20" w:after="20"/>
              <w:jc w:val="center"/>
              <w:rPr>
                <w:rFonts w:cs="Arial"/>
                <w:bCs/>
                <w:sz w:val="18"/>
              </w:rPr>
            </w:pPr>
            <w:r>
              <w:rPr>
                <w:rFonts w:cs="Arial"/>
                <w:bCs/>
                <w:sz w:val="18"/>
              </w:rPr>
              <w:t>20</w:t>
            </w:r>
          </w:p>
        </w:tc>
        <w:tc>
          <w:tcPr>
            <w:tcW w:w="3150" w:type="dxa"/>
            <w:shd w:val="clear" w:color="auto" w:fill="auto"/>
            <w:vAlign w:val="bottom"/>
          </w:tcPr>
          <w:p>
            <w:pPr>
              <w:keepNext/>
              <w:keepLines/>
              <w:spacing w:before="20" w:after="20"/>
              <w:ind w:right="255"/>
              <w:jc w:val="right"/>
              <w:rPr>
                <w:rFonts w:cs="Arial"/>
                <w:sz w:val="18"/>
              </w:rPr>
            </w:pPr>
            <w:r>
              <w:rPr>
                <w:rFonts w:cs="Arial"/>
                <w:sz w:val="18"/>
              </w:rPr>
              <w:t>8.734</w:t>
            </w:r>
          </w:p>
        </w:tc>
        <w:tc>
          <w:tcPr>
            <w:tcW w:w="3150" w:type="dxa"/>
            <w:shd w:val="clear" w:color="auto" w:fill="auto"/>
            <w:vAlign w:val="bottom"/>
          </w:tcPr>
          <w:p>
            <w:pPr>
              <w:keepNext/>
              <w:keepLines/>
              <w:spacing w:before="20" w:after="20"/>
              <w:ind w:right="255"/>
              <w:jc w:val="right"/>
              <w:rPr>
                <w:rFonts w:cs="Arial"/>
                <w:sz w:val="18"/>
              </w:rPr>
            </w:pPr>
            <w:r>
              <w:rPr>
                <w:rFonts w:cs="Arial"/>
                <w:sz w:val="18"/>
              </w:rPr>
              <w:t>10.015</w:t>
            </w:r>
          </w:p>
        </w:tc>
      </w:tr>
      <w:tr>
        <w:tc>
          <w:tcPr>
            <w:tcW w:w="1695" w:type="dxa"/>
            <w:shd w:val="clear" w:color="auto" w:fill="auto"/>
            <w:vAlign w:val="center"/>
          </w:tcPr>
          <w:p>
            <w:pPr>
              <w:keepNext/>
              <w:keepLines/>
              <w:spacing w:before="20" w:after="20"/>
              <w:jc w:val="center"/>
              <w:rPr>
                <w:rFonts w:cs="Arial"/>
                <w:bCs/>
                <w:sz w:val="18"/>
              </w:rPr>
            </w:pPr>
            <w:r>
              <w:rPr>
                <w:rFonts w:cs="Arial"/>
                <w:bCs/>
                <w:sz w:val="18"/>
              </w:rPr>
              <w:t>35</w:t>
            </w:r>
          </w:p>
        </w:tc>
        <w:tc>
          <w:tcPr>
            <w:tcW w:w="3150" w:type="dxa"/>
            <w:shd w:val="clear" w:color="auto" w:fill="auto"/>
            <w:vAlign w:val="bottom"/>
          </w:tcPr>
          <w:p>
            <w:pPr>
              <w:keepNext/>
              <w:keepLines/>
              <w:spacing w:before="20" w:after="20"/>
              <w:ind w:right="255"/>
              <w:jc w:val="right"/>
              <w:rPr>
                <w:rFonts w:cs="Arial"/>
                <w:sz w:val="18"/>
              </w:rPr>
            </w:pPr>
            <w:r>
              <w:rPr>
                <w:rFonts w:cs="Arial"/>
                <w:sz w:val="18"/>
              </w:rPr>
              <w:t>157.749</w:t>
            </w:r>
          </w:p>
        </w:tc>
        <w:tc>
          <w:tcPr>
            <w:tcW w:w="3150" w:type="dxa"/>
            <w:shd w:val="clear" w:color="auto" w:fill="auto"/>
            <w:vAlign w:val="bottom"/>
          </w:tcPr>
          <w:p>
            <w:pPr>
              <w:keepNext/>
              <w:keepLines/>
              <w:spacing w:before="20" w:after="20"/>
              <w:ind w:right="255"/>
              <w:jc w:val="right"/>
              <w:rPr>
                <w:rFonts w:cs="Arial"/>
                <w:sz w:val="18"/>
              </w:rPr>
            </w:pPr>
            <w:r>
              <w:rPr>
                <w:rFonts w:cs="Arial"/>
                <w:sz w:val="18"/>
              </w:rPr>
              <w:t>157.749</w:t>
            </w:r>
          </w:p>
        </w:tc>
      </w:tr>
      <w:tr>
        <w:tc>
          <w:tcPr>
            <w:tcW w:w="1695" w:type="dxa"/>
            <w:shd w:val="clear" w:color="auto" w:fill="auto"/>
            <w:vAlign w:val="center"/>
          </w:tcPr>
          <w:p>
            <w:pPr>
              <w:keepNext/>
              <w:keepLines/>
              <w:spacing w:before="20" w:after="20"/>
              <w:jc w:val="center"/>
              <w:rPr>
                <w:rFonts w:cs="Arial"/>
                <w:bCs/>
                <w:sz w:val="18"/>
              </w:rPr>
            </w:pPr>
            <w:r>
              <w:rPr>
                <w:rFonts w:cs="Arial"/>
                <w:bCs/>
                <w:sz w:val="18"/>
              </w:rPr>
              <w:t>50</w:t>
            </w:r>
          </w:p>
        </w:tc>
        <w:tc>
          <w:tcPr>
            <w:tcW w:w="3150" w:type="dxa"/>
            <w:shd w:val="clear" w:color="auto" w:fill="auto"/>
            <w:vAlign w:val="bottom"/>
          </w:tcPr>
          <w:p>
            <w:pPr>
              <w:keepNext/>
              <w:keepLines/>
              <w:spacing w:before="20" w:after="20"/>
              <w:ind w:right="255"/>
              <w:jc w:val="right"/>
              <w:rPr>
                <w:rFonts w:cs="Arial"/>
                <w:sz w:val="18"/>
              </w:rPr>
            </w:pPr>
            <w:r>
              <w:rPr>
                <w:rFonts w:cs="Arial"/>
                <w:sz w:val="18"/>
              </w:rPr>
              <w:t>100.930</w:t>
            </w:r>
          </w:p>
        </w:tc>
        <w:tc>
          <w:tcPr>
            <w:tcW w:w="3150" w:type="dxa"/>
            <w:shd w:val="clear" w:color="auto" w:fill="auto"/>
            <w:vAlign w:val="bottom"/>
          </w:tcPr>
          <w:p>
            <w:pPr>
              <w:keepNext/>
              <w:keepLines/>
              <w:spacing w:before="20" w:after="20"/>
              <w:ind w:right="255"/>
              <w:jc w:val="right"/>
              <w:rPr>
                <w:rFonts w:cs="Arial"/>
                <w:sz w:val="18"/>
              </w:rPr>
            </w:pPr>
            <w:r>
              <w:rPr>
                <w:rFonts w:cs="Arial"/>
                <w:sz w:val="18"/>
              </w:rPr>
              <w:t>100.930</w:t>
            </w:r>
          </w:p>
        </w:tc>
      </w:tr>
      <w:tr>
        <w:tc>
          <w:tcPr>
            <w:tcW w:w="1695" w:type="dxa"/>
            <w:shd w:val="clear" w:color="auto" w:fill="auto"/>
            <w:vAlign w:val="center"/>
          </w:tcPr>
          <w:p>
            <w:pPr>
              <w:keepNext/>
              <w:keepLines/>
              <w:spacing w:before="20" w:after="20"/>
              <w:jc w:val="center"/>
              <w:rPr>
                <w:rFonts w:cs="Arial"/>
                <w:bCs/>
                <w:sz w:val="18"/>
              </w:rPr>
            </w:pPr>
            <w:r>
              <w:rPr>
                <w:rFonts w:cs="Arial"/>
                <w:bCs/>
                <w:sz w:val="18"/>
              </w:rPr>
              <w:t>70</w:t>
            </w:r>
          </w:p>
        </w:tc>
        <w:tc>
          <w:tcPr>
            <w:tcW w:w="3150" w:type="dxa"/>
            <w:shd w:val="clear" w:color="auto" w:fill="auto"/>
            <w:vAlign w:val="bottom"/>
          </w:tcPr>
          <w:p>
            <w:pPr>
              <w:keepNext/>
              <w:keepLines/>
              <w:spacing w:before="20" w:after="20"/>
              <w:ind w:right="255"/>
              <w:jc w:val="right"/>
              <w:rPr>
                <w:rFonts w:cs="Arial"/>
                <w:sz w:val="18"/>
              </w:rPr>
            </w:pPr>
            <w:r>
              <w:rPr>
                <w:rFonts w:cs="Arial"/>
                <w:sz w:val="18"/>
              </w:rPr>
              <w:t>0</w:t>
            </w:r>
          </w:p>
        </w:tc>
        <w:tc>
          <w:tcPr>
            <w:tcW w:w="3150" w:type="dxa"/>
            <w:shd w:val="clear" w:color="auto" w:fill="auto"/>
            <w:vAlign w:val="bottom"/>
          </w:tcPr>
          <w:p>
            <w:pPr>
              <w:keepNext/>
              <w:keepLines/>
              <w:spacing w:before="20" w:after="20"/>
              <w:ind w:right="255"/>
              <w:jc w:val="right"/>
              <w:rPr>
                <w:rFonts w:cs="Arial"/>
                <w:sz w:val="18"/>
              </w:rPr>
            </w:pPr>
            <w:r>
              <w:rPr>
                <w:rFonts w:cs="Arial"/>
                <w:sz w:val="18"/>
              </w:rPr>
              <w:t>1.865</w:t>
            </w:r>
          </w:p>
        </w:tc>
      </w:tr>
      <w:tr>
        <w:tc>
          <w:tcPr>
            <w:tcW w:w="1695" w:type="dxa"/>
            <w:shd w:val="clear" w:color="auto" w:fill="auto"/>
            <w:vAlign w:val="center"/>
          </w:tcPr>
          <w:p>
            <w:pPr>
              <w:keepNext/>
              <w:keepLines/>
              <w:spacing w:before="20" w:after="20"/>
              <w:jc w:val="center"/>
              <w:rPr>
                <w:rFonts w:cs="Arial"/>
                <w:bCs/>
                <w:sz w:val="18"/>
              </w:rPr>
            </w:pPr>
            <w:r>
              <w:rPr>
                <w:rFonts w:cs="Arial"/>
                <w:bCs/>
                <w:sz w:val="18"/>
              </w:rPr>
              <w:t>75</w:t>
            </w:r>
          </w:p>
        </w:tc>
        <w:tc>
          <w:tcPr>
            <w:tcW w:w="3150" w:type="dxa"/>
            <w:shd w:val="clear" w:color="auto" w:fill="auto"/>
            <w:vAlign w:val="bottom"/>
          </w:tcPr>
          <w:p>
            <w:pPr>
              <w:keepNext/>
              <w:keepLines/>
              <w:spacing w:before="20" w:after="20"/>
              <w:ind w:right="255"/>
              <w:jc w:val="right"/>
              <w:rPr>
                <w:rFonts w:cs="Arial"/>
                <w:sz w:val="18"/>
              </w:rPr>
            </w:pPr>
            <w:r>
              <w:rPr>
                <w:rFonts w:cs="Arial"/>
                <w:sz w:val="18"/>
              </w:rPr>
              <w:t>156.933</w:t>
            </w:r>
          </w:p>
        </w:tc>
        <w:tc>
          <w:tcPr>
            <w:tcW w:w="3150" w:type="dxa"/>
            <w:shd w:val="clear" w:color="auto" w:fill="auto"/>
            <w:vAlign w:val="bottom"/>
          </w:tcPr>
          <w:p>
            <w:pPr>
              <w:keepNext/>
              <w:keepLines/>
              <w:spacing w:before="20" w:after="20"/>
              <w:ind w:right="255"/>
              <w:jc w:val="right"/>
              <w:rPr>
                <w:rFonts w:cs="Arial"/>
                <w:sz w:val="18"/>
              </w:rPr>
            </w:pPr>
            <w:r>
              <w:rPr>
                <w:rFonts w:cs="Arial"/>
                <w:sz w:val="18"/>
              </w:rPr>
              <w:t>154.504</w:t>
            </w:r>
          </w:p>
        </w:tc>
      </w:tr>
      <w:tr>
        <w:tc>
          <w:tcPr>
            <w:tcW w:w="1695" w:type="dxa"/>
            <w:shd w:val="clear" w:color="auto" w:fill="auto"/>
            <w:vAlign w:val="center"/>
          </w:tcPr>
          <w:p>
            <w:pPr>
              <w:keepNext/>
              <w:keepLines/>
              <w:spacing w:before="20" w:after="20"/>
              <w:jc w:val="center"/>
              <w:rPr>
                <w:rFonts w:cs="Arial"/>
                <w:bCs/>
                <w:sz w:val="18"/>
              </w:rPr>
            </w:pPr>
            <w:r>
              <w:rPr>
                <w:rFonts w:cs="Arial"/>
                <w:bCs/>
                <w:sz w:val="18"/>
              </w:rPr>
              <w:t>100</w:t>
            </w:r>
          </w:p>
        </w:tc>
        <w:tc>
          <w:tcPr>
            <w:tcW w:w="3150" w:type="dxa"/>
            <w:shd w:val="clear" w:color="auto" w:fill="auto"/>
            <w:vAlign w:val="bottom"/>
          </w:tcPr>
          <w:p>
            <w:pPr>
              <w:keepNext/>
              <w:keepLines/>
              <w:spacing w:before="20" w:after="20"/>
              <w:ind w:right="255"/>
              <w:jc w:val="right"/>
              <w:rPr>
                <w:rFonts w:cs="Arial"/>
                <w:sz w:val="18"/>
              </w:rPr>
            </w:pPr>
            <w:r>
              <w:rPr>
                <w:rFonts w:cs="Arial"/>
                <w:sz w:val="18"/>
              </w:rPr>
              <w:t>281.377</w:t>
            </w:r>
          </w:p>
        </w:tc>
        <w:tc>
          <w:tcPr>
            <w:tcW w:w="3150" w:type="dxa"/>
            <w:shd w:val="clear" w:color="auto" w:fill="auto"/>
            <w:vAlign w:val="bottom"/>
          </w:tcPr>
          <w:p>
            <w:pPr>
              <w:keepNext/>
              <w:keepLines/>
              <w:spacing w:before="20" w:after="20"/>
              <w:ind w:right="255"/>
              <w:jc w:val="right"/>
              <w:rPr>
                <w:rFonts w:cs="Arial"/>
                <w:sz w:val="18"/>
              </w:rPr>
            </w:pPr>
            <w:r>
              <w:rPr>
                <w:rFonts w:cs="Arial"/>
                <w:sz w:val="18"/>
              </w:rPr>
              <w:t>272.754</w:t>
            </w:r>
          </w:p>
        </w:tc>
      </w:tr>
      <w:tr>
        <w:tc>
          <w:tcPr>
            <w:tcW w:w="1695" w:type="dxa"/>
            <w:shd w:val="clear" w:color="auto" w:fill="auto"/>
            <w:vAlign w:val="center"/>
          </w:tcPr>
          <w:p>
            <w:pPr>
              <w:keepNext/>
              <w:keepLines/>
              <w:spacing w:before="20" w:after="20"/>
              <w:jc w:val="center"/>
              <w:rPr>
                <w:rFonts w:cs="Arial"/>
                <w:bCs/>
                <w:sz w:val="18"/>
              </w:rPr>
            </w:pPr>
            <w:r>
              <w:rPr>
                <w:rFonts w:cs="Arial"/>
                <w:bCs/>
                <w:sz w:val="18"/>
              </w:rPr>
              <w:t>150</w:t>
            </w:r>
          </w:p>
        </w:tc>
        <w:tc>
          <w:tcPr>
            <w:tcW w:w="3150" w:type="dxa"/>
            <w:shd w:val="clear" w:color="auto" w:fill="auto"/>
            <w:vAlign w:val="bottom"/>
          </w:tcPr>
          <w:p>
            <w:pPr>
              <w:keepNext/>
              <w:keepLines/>
              <w:spacing w:before="20" w:after="20"/>
              <w:ind w:right="255"/>
              <w:jc w:val="right"/>
              <w:rPr>
                <w:rFonts w:cs="Arial"/>
                <w:sz w:val="18"/>
              </w:rPr>
            </w:pPr>
            <w:r>
              <w:rPr>
                <w:rFonts w:cs="Arial"/>
                <w:sz w:val="18"/>
              </w:rPr>
              <w:t>1.029</w:t>
            </w:r>
          </w:p>
        </w:tc>
        <w:tc>
          <w:tcPr>
            <w:tcW w:w="3150" w:type="dxa"/>
            <w:shd w:val="clear" w:color="auto" w:fill="auto"/>
            <w:vAlign w:val="bottom"/>
          </w:tcPr>
          <w:p>
            <w:pPr>
              <w:keepNext/>
              <w:keepLines/>
              <w:spacing w:before="20" w:after="20"/>
              <w:ind w:right="255"/>
              <w:jc w:val="right"/>
              <w:rPr>
                <w:rFonts w:cs="Arial"/>
                <w:sz w:val="18"/>
              </w:rPr>
            </w:pPr>
            <w:r>
              <w:rPr>
                <w:rFonts w:cs="Arial"/>
                <w:sz w:val="18"/>
              </w:rPr>
              <w:t>982</w:t>
            </w:r>
          </w:p>
        </w:tc>
      </w:tr>
      <w:tr>
        <w:tc>
          <w:tcPr>
            <w:tcW w:w="1695" w:type="dxa"/>
            <w:shd w:val="clear" w:color="auto" w:fill="auto"/>
            <w:vAlign w:val="center"/>
          </w:tcPr>
          <w:p>
            <w:pPr>
              <w:keepNext/>
              <w:keepLines/>
              <w:spacing w:before="20" w:after="20"/>
              <w:jc w:val="center"/>
              <w:rPr>
                <w:rFonts w:cs="Arial"/>
                <w:bCs/>
                <w:sz w:val="18"/>
              </w:rPr>
            </w:pPr>
            <w:r>
              <w:rPr>
                <w:rFonts w:cs="Arial"/>
                <w:bCs/>
                <w:sz w:val="18"/>
              </w:rPr>
              <w:t>250</w:t>
            </w:r>
          </w:p>
        </w:tc>
        <w:tc>
          <w:tcPr>
            <w:tcW w:w="3150" w:type="dxa"/>
            <w:shd w:val="clear" w:color="auto" w:fill="auto"/>
            <w:vAlign w:val="bottom"/>
          </w:tcPr>
          <w:p>
            <w:pPr>
              <w:keepNext/>
              <w:keepLines/>
              <w:spacing w:before="20" w:after="20"/>
              <w:ind w:right="255"/>
              <w:jc w:val="right"/>
              <w:rPr>
                <w:rFonts w:cs="Arial"/>
                <w:sz w:val="18"/>
              </w:rPr>
            </w:pPr>
            <w:r>
              <w:rPr>
                <w:rFonts w:cs="Arial"/>
                <w:sz w:val="18"/>
              </w:rPr>
              <w:t>0</w:t>
            </w:r>
          </w:p>
        </w:tc>
        <w:tc>
          <w:tcPr>
            <w:tcW w:w="3150" w:type="dxa"/>
            <w:shd w:val="clear" w:color="auto" w:fill="auto"/>
            <w:vAlign w:val="bottom"/>
          </w:tcPr>
          <w:p>
            <w:pPr>
              <w:keepNext/>
              <w:keepLines/>
              <w:spacing w:before="20" w:after="20"/>
              <w:ind w:right="255"/>
              <w:jc w:val="right"/>
              <w:rPr>
                <w:rFonts w:cs="Arial"/>
                <w:sz w:val="18"/>
              </w:rPr>
            </w:pPr>
            <w:r>
              <w:rPr>
                <w:rFonts w:cs="Arial"/>
                <w:sz w:val="18"/>
              </w:rPr>
              <w:t>0</w:t>
            </w:r>
          </w:p>
        </w:tc>
      </w:tr>
      <w:tr>
        <w:tc>
          <w:tcPr>
            <w:tcW w:w="1695" w:type="dxa"/>
            <w:shd w:val="clear" w:color="auto" w:fill="BFBFBF" w:themeFill="background1" w:themeFillShade="BF"/>
            <w:vAlign w:val="center"/>
          </w:tcPr>
          <w:p>
            <w:pPr>
              <w:keepNext/>
              <w:keepLines/>
              <w:spacing w:before="20" w:after="20"/>
              <w:jc w:val="center"/>
              <w:rPr>
                <w:rFonts w:cs="Arial"/>
                <w:bCs/>
                <w:sz w:val="18"/>
              </w:rPr>
            </w:pPr>
            <w:r>
              <w:rPr>
                <w:rFonts w:cs="Arial"/>
                <w:bCs/>
                <w:sz w:val="18"/>
              </w:rPr>
              <w:t>370</w:t>
            </w:r>
          </w:p>
        </w:tc>
        <w:tc>
          <w:tcPr>
            <w:tcW w:w="3150" w:type="dxa"/>
            <w:shd w:val="clear" w:color="auto" w:fill="BFBFBF" w:themeFill="background1" w:themeFillShade="BF"/>
            <w:vAlign w:val="bottom"/>
          </w:tcPr>
          <w:p>
            <w:pPr>
              <w:keepNext/>
              <w:keepLines/>
              <w:spacing w:before="20" w:after="20"/>
              <w:ind w:right="255"/>
              <w:jc w:val="right"/>
              <w:rPr>
                <w:rFonts w:cs="Arial"/>
                <w:sz w:val="18"/>
              </w:rPr>
            </w:pPr>
            <w:r>
              <w:rPr>
                <w:rFonts w:cs="Arial"/>
                <w:sz w:val="18"/>
              </w:rPr>
              <w:t>0</w:t>
            </w:r>
          </w:p>
        </w:tc>
        <w:tc>
          <w:tcPr>
            <w:tcW w:w="3150" w:type="dxa"/>
            <w:shd w:val="clear" w:color="auto" w:fill="BFBFBF" w:themeFill="background1" w:themeFillShade="BF"/>
            <w:vAlign w:val="bottom"/>
          </w:tcPr>
          <w:p>
            <w:pPr>
              <w:keepNext/>
              <w:keepLines/>
              <w:spacing w:before="20" w:after="20"/>
              <w:ind w:right="255"/>
              <w:jc w:val="right"/>
              <w:rPr>
                <w:rFonts w:cs="Arial"/>
                <w:sz w:val="18"/>
              </w:rPr>
            </w:pPr>
            <w:r>
              <w:rPr>
                <w:rFonts w:cs="Arial"/>
                <w:sz w:val="18"/>
              </w:rPr>
              <w:t>0</w:t>
            </w:r>
          </w:p>
        </w:tc>
      </w:tr>
      <w:tr>
        <w:tc>
          <w:tcPr>
            <w:tcW w:w="1695" w:type="dxa"/>
            <w:shd w:val="clear" w:color="auto" w:fill="BFBFBF" w:themeFill="background1" w:themeFillShade="BF"/>
            <w:vAlign w:val="center"/>
          </w:tcPr>
          <w:p>
            <w:pPr>
              <w:keepNext/>
              <w:keepLines/>
              <w:spacing w:before="20" w:after="20"/>
              <w:jc w:val="center"/>
              <w:rPr>
                <w:rFonts w:cs="Arial"/>
                <w:bCs/>
                <w:sz w:val="18"/>
              </w:rPr>
            </w:pPr>
            <w:r>
              <w:rPr>
                <w:rFonts w:cs="Arial"/>
                <w:bCs/>
                <w:sz w:val="18"/>
              </w:rPr>
              <w:t>1250</w:t>
            </w:r>
          </w:p>
        </w:tc>
        <w:tc>
          <w:tcPr>
            <w:tcW w:w="3150" w:type="dxa"/>
            <w:shd w:val="clear" w:color="auto" w:fill="BFBFBF" w:themeFill="background1" w:themeFillShade="BF"/>
            <w:vAlign w:val="bottom"/>
          </w:tcPr>
          <w:p>
            <w:pPr>
              <w:keepNext/>
              <w:keepLines/>
              <w:spacing w:before="20" w:after="20"/>
              <w:ind w:right="255"/>
              <w:jc w:val="right"/>
              <w:rPr>
                <w:rFonts w:cs="Arial"/>
                <w:sz w:val="18"/>
              </w:rPr>
            </w:pPr>
            <w:r>
              <w:rPr>
                <w:rFonts w:cs="Arial"/>
                <w:sz w:val="18"/>
              </w:rPr>
              <w:t>0</w:t>
            </w:r>
          </w:p>
        </w:tc>
        <w:tc>
          <w:tcPr>
            <w:tcW w:w="3150" w:type="dxa"/>
            <w:shd w:val="clear" w:color="auto" w:fill="BFBFBF" w:themeFill="background1" w:themeFillShade="BF"/>
            <w:vAlign w:val="bottom"/>
          </w:tcPr>
          <w:p>
            <w:pPr>
              <w:keepNext/>
              <w:keepLines/>
              <w:spacing w:before="20" w:after="20"/>
              <w:ind w:right="255"/>
              <w:jc w:val="right"/>
              <w:rPr>
                <w:rFonts w:cs="Arial"/>
                <w:sz w:val="18"/>
              </w:rPr>
            </w:pPr>
            <w:r>
              <w:rPr>
                <w:rFonts w:cs="Arial"/>
                <w:sz w:val="18"/>
              </w:rPr>
              <w:t>0</w:t>
            </w:r>
          </w:p>
        </w:tc>
      </w:tr>
      <w:tr>
        <w:tc>
          <w:tcPr>
            <w:tcW w:w="1695" w:type="dxa"/>
            <w:shd w:val="clear" w:color="auto" w:fill="auto"/>
            <w:vAlign w:val="center"/>
          </w:tcPr>
          <w:p>
            <w:pPr>
              <w:keepNext/>
              <w:keepLines/>
              <w:spacing w:before="20" w:after="20"/>
              <w:jc w:val="center"/>
              <w:rPr>
                <w:rFonts w:cs="Arial"/>
                <w:bCs/>
                <w:sz w:val="18"/>
              </w:rPr>
            </w:pPr>
            <w:r>
              <w:rPr>
                <w:rFonts w:cs="Arial"/>
                <w:bCs/>
                <w:sz w:val="18"/>
              </w:rPr>
              <w:t>Sonstiges</w:t>
            </w:r>
          </w:p>
        </w:tc>
        <w:tc>
          <w:tcPr>
            <w:tcW w:w="3150" w:type="dxa"/>
            <w:shd w:val="clear" w:color="auto" w:fill="auto"/>
            <w:vAlign w:val="bottom"/>
          </w:tcPr>
          <w:p>
            <w:pPr>
              <w:keepNext/>
              <w:keepLines/>
              <w:spacing w:before="20" w:after="20"/>
              <w:ind w:right="255"/>
              <w:jc w:val="right"/>
              <w:rPr>
                <w:rFonts w:cs="Arial"/>
                <w:sz w:val="18"/>
              </w:rPr>
            </w:pPr>
            <w:r>
              <w:rPr>
                <w:rFonts w:cs="Arial"/>
                <w:sz w:val="18"/>
              </w:rPr>
              <w:t>21.953</w:t>
            </w:r>
          </w:p>
        </w:tc>
        <w:tc>
          <w:tcPr>
            <w:tcW w:w="3150" w:type="dxa"/>
            <w:shd w:val="clear" w:color="auto" w:fill="auto"/>
            <w:vAlign w:val="bottom"/>
          </w:tcPr>
          <w:p>
            <w:pPr>
              <w:keepNext/>
              <w:keepLines/>
              <w:spacing w:before="20" w:after="20"/>
              <w:ind w:right="255"/>
              <w:jc w:val="right"/>
              <w:rPr>
                <w:rFonts w:cs="Arial"/>
                <w:sz w:val="18"/>
              </w:rPr>
            </w:pPr>
            <w:r>
              <w:rPr>
                <w:rFonts w:cs="Arial"/>
                <w:sz w:val="18"/>
              </w:rPr>
              <w:t>21.953</w:t>
            </w:r>
          </w:p>
        </w:tc>
      </w:tr>
      <w:tr>
        <w:tc>
          <w:tcPr>
            <w:tcW w:w="1695" w:type="dxa"/>
            <w:shd w:val="clear" w:color="auto" w:fill="auto"/>
            <w:vAlign w:val="center"/>
          </w:tcPr>
          <w:p>
            <w:pPr>
              <w:spacing w:before="20" w:after="20"/>
              <w:jc w:val="center"/>
              <w:rPr>
                <w:rFonts w:cs="Arial"/>
                <w:bCs/>
                <w:sz w:val="18"/>
              </w:rPr>
            </w:pPr>
            <w:r>
              <w:rPr>
                <w:rFonts w:cs="Arial"/>
                <w:bCs/>
                <w:sz w:val="18"/>
              </w:rPr>
              <w:t>Abzug von den</w:t>
            </w:r>
            <w:r>
              <w:rPr>
                <w:rFonts w:cs="Arial"/>
                <w:bCs/>
                <w:sz w:val="18"/>
              </w:rPr>
              <w:br/>
              <w:t>Eigenmitteln</w:t>
            </w:r>
          </w:p>
        </w:tc>
        <w:tc>
          <w:tcPr>
            <w:tcW w:w="3150" w:type="dxa"/>
            <w:shd w:val="clear" w:color="auto" w:fill="auto"/>
            <w:vAlign w:val="bottom"/>
          </w:tcPr>
          <w:p>
            <w:pPr>
              <w:spacing w:before="20" w:after="20"/>
              <w:ind w:right="255"/>
              <w:jc w:val="right"/>
              <w:rPr>
                <w:rFonts w:cs="Arial"/>
                <w:sz w:val="18"/>
              </w:rPr>
            </w:pPr>
            <w:r>
              <w:rPr>
                <w:rFonts w:cs="Arial"/>
                <w:sz w:val="18"/>
              </w:rPr>
              <w:t>0</w:t>
            </w:r>
          </w:p>
        </w:tc>
        <w:tc>
          <w:tcPr>
            <w:tcW w:w="3150" w:type="dxa"/>
            <w:shd w:val="clear" w:color="auto" w:fill="auto"/>
            <w:vAlign w:val="bottom"/>
          </w:tcPr>
          <w:p>
            <w:pPr>
              <w:spacing w:before="20" w:after="20"/>
              <w:ind w:right="255"/>
              <w:jc w:val="right"/>
              <w:rPr>
                <w:rFonts w:cs="Arial"/>
                <w:sz w:val="18"/>
              </w:rPr>
            </w:pPr>
            <w:r>
              <w:rPr>
                <w:rFonts w:cs="Arial"/>
                <w:sz w:val="18"/>
              </w:rPr>
              <w:t>0</w:t>
            </w:r>
          </w:p>
        </w:tc>
      </w:tr>
      <w:tr>
        <w:tc>
          <w:tcPr>
            <w:tcW w:w="1695" w:type="dxa"/>
            <w:shd w:val="clear" w:color="auto" w:fill="auto"/>
            <w:vAlign w:val="center"/>
          </w:tcPr>
          <w:p>
            <w:pPr>
              <w:spacing w:before="20" w:after="20"/>
              <w:jc w:val="center"/>
              <w:rPr>
                <w:rFonts w:cs="Arial"/>
                <w:b/>
                <w:sz w:val="18"/>
              </w:rPr>
            </w:pPr>
            <w:r>
              <w:rPr>
                <w:rFonts w:cs="Arial"/>
                <w:b/>
                <w:sz w:val="18"/>
              </w:rPr>
              <w:t>Summe</w:t>
            </w:r>
          </w:p>
        </w:tc>
        <w:tc>
          <w:tcPr>
            <w:tcW w:w="3150" w:type="dxa"/>
            <w:shd w:val="clear" w:color="auto" w:fill="auto"/>
            <w:vAlign w:val="bottom"/>
          </w:tcPr>
          <w:p>
            <w:pPr>
              <w:spacing w:before="20" w:after="20"/>
              <w:ind w:right="255"/>
              <w:jc w:val="right"/>
              <w:rPr>
                <w:rFonts w:cs="Arial"/>
                <w:b/>
                <w:sz w:val="18"/>
              </w:rPr>
            </w:pPr>
            <w:r>
              <w:rPr>
                <w:rFonts w:cs="Arial"/>
                <w:b/>
                <w:sz w:val="18"/>
              </w:rPr>
              <w:t>821.608</w:t>
            </w:r>
          </w:p>
        </w:tc>
        <w:tc>
          <w:tcPr>
            <w:tcW w:w="3150" w:type="dxa"/>
            <w:shd w:val="clear" w:color="auto" w:fill="auto"/>
            <w:vAlign w:val="bottom"/>
          </w:tcPr>
          <w:p>
            <w:pPr>
              <w:spacing w:before="20" w:after="20"/>
              <w:ind w:right="255"/>
              <w:jc w:val="right"/>
              <w:rPr>
                <w:rFonts w:cs="Arial"/>
                <w:b/>
                <w:sz w:val="18"/>
              </w:rPr>
            </w:pPr>
            <w:r>
              <w:rPr>
                <w:rFonts w:cs="Arial"/>
                <w:b/>
                <w:sz w:val="18"/>
              </w:rPr>
              <w:t>821.608</w:t>
            </w:r>
          </w:p>
        </w:tc>
      </w:tr>
    </w:tbl>
    <w:p>
      <w:pPr>
        <w:pStyle w:val="Kopfzeile"/>
        <w:tabs>
          <w:tab w:val="clear" w:pos="4536"/>
          <w:tab w:val="clear" w:pos="9072"/>
        </w:tabs>
        <w:spacing w:before="0" w:after="0"/>
        <w:rPr>
          <w:szCs w:val="22"/>
        </w:rPr>
      </w:pPr>
    </w:p>
    <w:p>
      <w:pPr>
        <w:pStyle w:val="berschrift1"/>
        <w:jc w:val="left"/>
      </w:pPr>
      <w:bookmarkStart w:id="10" w:name="_Toc436146679"/>
      <w:r>
        <w:rPr>
          <w:b w:val="0"/>
        </w:rPr>
        <w:t>Gegenparteiausfallrisiko</w:t>
      </w:r>
      <w:r>
        <w:t xml:space="preserve"> (Art. 439)</w:t>
      </w:r>
      <w:bookmarkEnd w:id="10"/>
    </w:p>
    <w:p>
      <w:pPr>
        <w:pStyle w:val="Randziffer"/>
      </w:pPr>
      <w:r>
        <w:t xml:space="preserve">Unsere Kontrahenten in Bezug auf derivative Adressenausfallrisikopositionen sind unsere Zentralbank und unsere Kunden. Aufgrund des Sicherungssystems im genossenschaftlichen </w:t>
      </w:r>
      <w:proofErr w:type="spellStart"/>
      <w:r>
        <w:t>FinanzVerbund</w:t>
      </w:r>
      <w:proofErr w:type="spellEnd"/>
      <w:r>
        <w:t xml:space="preserve">, das einen Bestandsschutz für den Kontrahenten garantiert und dessen Bonität im Rahmen des Verbundratings regelmäßig überprüft wird, verzichten wir bei den Geschäften mit unserer Zentralbank auf ein </w:t>
      </w:r>
      <w:proofErr w:type="spellStart"/>
      <w:r>
        <w:t>kontrahentenbezogenes</w:t>
      </w:r>
      <w:proofErr w:type="spellEnd"/>
      <w:r>
        <w:t xml:space="preserve"> </w:t>
      </w:r>
      <w:proofErr w:type="spellStart"/>
      <w:r>
        <w:t>Limitsystem</w:t>
      </w:r>
      <w:proofErr w:type="spellEnd"/>
      <w:r>
        <w:t xml:space="preserve"> sowie auf die Hereinnahme von Sicherheiten. Für unsere Kunden werden einzelfallbezogene </w:t>
      </w:r>
      <w:proofErr w:type="spellStart"/>
      <w:r>
        <w:t>Kontrahentenlimite</w:t>
      </w:r>
      <w:proofErr w:type="spellEnd"/>
      <w:r>
        <w:t xml:space="preserve"> nach Vorgabe und Votum von Markt und Marktfolge vergeben. </w:t>
      </w:r>
    </w:p>
    <w:p>
      <w:pPr>
        <w:pStyle w:val="Randziffer"/>
      </w:pPr>
      <w:r>
        <w:t xml:space="preserve">Derivative Adressenausfallrisikopositionen werden mit ihren Kreditäquivalenzbeträge auf die entsprechenden </w:t>
      </w:r>
      <w:proofErr w:type="spellStart"/>
      <w:r>
        <w:t>Kontrahentenlimite</w:t>
      </w:r>
      <w:proofErr w:type="spellEnd"/>
      <w:r>
        <w:t xml:space="preserve"> angerechnet. Zur Ermittlung der derivativen </w:t>
      </w:r>
      <w:r>
        <w:lastRenderedPageBreak/>
        <w:t>Adressenausfallrisikopositionen greifen wir ausschließlich auf die Marktbewertungsmethode zurück.</w:t>
      </w:r>
    </w:p>
    <w:p>
      <w:pPr>
        <w:pStyle w:val="Randziffer"/>
      </w:pPr>
      <w:r>
        <w:t xml:space="preserve">Unsere derivativen Adressenausfallrisikopositionen sind mit negativen Zeitwerten i. H. v. insgesamt -5,0 TEUR (ohne das jeweilige </w:t>
      </w:r>
      <w:proofErr w:type="spellStart"/>
      <w:r>
        <w:t>add</w:t>
      </w:r>
      <w:proofErr w:type="spellEnd"/>
      <w:r>
        <w:t xml:space="preserve"> on auf Basis von Restlaufzeiten) verbunden. Nicht mit Eigenmitteln zu unterlegende derivative Geschäfte, die einen positiven Zeitwert aufweisen, bestehen bei uns zum Stichtag nicht. Aufgrund Art. 113 (7) unterbleiben die sonstigen nach Art. 439 vorgesehenen Angaben.</w:t>
      </w:r>
    </w:p>
    <w:p>
      <w:pPr>
        <w:pStyle w:val="berschrift1"/>
      </w:pPr>
      <w:r>
        <w:t>Kapitalpuffer (Art. 440)</w:t>
      </w:r>
    </w:p>
    <w:p>
      <w:pPr>
        <w:pStyle w:val="Randziffer"/>
      </w:pPr>
      <w:r>
        <w:t xml:space="preserve">Der antizyklische Kapitalpuffer ist ein makroprudenzielles Instrument der Bankenaufsicht, er soll dem Risiko eines übermäßigen Kreditwachstums im Bankensektor entgegenwirken. Festgelegt wird der Wert für den inländischen antizyklischen Kapitalpuffer von der Bundesanstalt für Finanzdienstleistungsaufsicht (BaFin). </w:t>
      </w:r>
    </w:p>
    <w:p>
      <w:pPr>
        <w:pStyle w:val="Randziffer"/>
      </w:pPr>
      <w:r>
        <w:t>Geographische Verteilung des antizyklischen Kapitalpuffers (in TEUR):</w:t>
      </w:r>
    </w:p>
    <w:tbl>
      <w:tblPr>
        <w:tblStyle w:val="Tabellenraster"/>
        <w:tblW w:w="8704" w:type="dxa"/>
        <w:tblInd w:w="360" w:type="dxa"/>
        <w:tblBorders>
          <w:top w:val="single" w:sz="6" w:space="0" w:color="FFFFFF" w:themeColor="background1"/>
          <w:left w:val="single" w:sz="6" w:space="0" w:color="FFFFFF" w:themeColor="background1"/>
          <w:bottom w:val="none" w:sz="0" w:space="0" w:color="auto"/>
          <w:right w:val="single" w:sz="6" w:space="0" w:color="FFFFFF" w:themeColor="background1"/>
          <w:insideH w:val="none" w:sz="0" w:space="0" w:color="auto"/>
          <w:insideV w:val="single" w:sz="6" w:space="0" w:color="FFFFFF" w:themeColor="background1"/>
        </w:tblBorders>
        <w:shd w:val="clear" w:color="auto" w:fill="000000" w:themeFill="text1"/>
        <w:tblLayout w:type="fixed"/>
        <w:tblLook w:val="04A0" w:firstRow="1" w:lastRow="0" w:firstColumn="1" w:lastColumn="0" w:noHBand="0" w:noVBand="1"/>
      </w:tblPr>
      <w:tblGrid>
        <w:gridCol w:w="1050"/>
        <w:gridCol w:w="850"/>
        <w:gridCol w:w="567"/>
        <w:gridCol w:w="567"/>
        <w:gridCol w:w="567"/>
        <w:gridCol w:w="567"/>
        <w:gridCol w:w="567"/>
        <w:gridCol w:w="709"/>
        <w:gridCol w:w="709"/>
        <w:gridCol w:w="567"/>
        <w:gridCol w:w="709"/>
        <w:gridCol w:w="708"/>
        <w:gridCol w:w="567"/>
      </w:tblGrid>
      <w:tr>
        <w:trPr>
          <w:cantSplit/>
          <w:trHeight w:val="817"/>
        </w:trPr>
        <w:tc>
          <w:tcPr>
            <w:tcW w:w="1050" w:type="dxa"/>
            <w:shd w:val="clear" w:color="auto" w:fill="00B0F0"/>
          </w:tcPr>
          <w:p>
            <w:pPr>
              <w:pStyle w:val="Randziffer"/>
              <w:numPr>
                <w:ilvl w:val="0"/>
                <w:numId w:val="0"/>
              </w:numPr>
            </w:pPr>
          </w:p>
        </w:tc>
        <w:tc>
          <w:tcPr>
            <w:tcW w:w="1417" w:type="dxa"/>
            <w:gridSpan w:val="2"/>
            <w:shd w:val="clear" w:color="auto" w:fill="00B0F0"/>
          </w:tcPr>
          <w:p>
            <w:pPr>
              <w:keepNext/>
              <w:keepLines/>
              <w:tabs>
                <w:tab w:val="left" w:pos="2556"/>
              </w:tabs>
              <w:spacing w:before="20" w:after="20"/>
              <w:jc w:val="center"/>
              <w:rPr>
                <w:b/>
                <w:bCs/>
                <w:color w:val="FFFFFF"/>
                <w:sz w:val="16"/>
                <w:szCs w:val="16"/>
              </w:rPr>
            </w:pPr>
            <w:r>
              <w:rPr>
                <w:b/>
                <w:bCs/>
                <w:color w:val="FFFFFF"/>
                <w:sz w:val="16"/>
                <w:szCs w:val="16"/>
              </w:rPr>
              <w:t>Allgemeine Kreditrisikopositionen</w:t>
            </w:r>
          </w:p>
        </w:tc>
        <w:tc>
          <w:tcPr>
            <w:tcW w:w="1134" w:type="dxa"/>
            <w:gridSpan w:val="2"/>
            <w:shd w:val="clear" w:color="auto" w:fill="00B0F0"/>
          </w:tcPr>
          <w:p>
            <w:pPr>
              <w:keepNext/>
              <w:keepLines/>
              <w:tabs>
                <w:tab w:val="left" w:pos="2556"/>
              </w:tabs>
              <w:spacing w:before="20" w:after="20"/>
              <w:jc w:val="center"/>
              <w:rPr>
                <w:b/>
                <w:bCs/>
                <w:color w:val="FFFFFF"/>
                <w:sz w:val="16"/>
                <w:szCs w:val="16"/>
              </w:rPr>
            </w:pPr>
            <w:r>
              <w:rPr>
                <w:b/>
                <w:bCs/>
                <w:color w:val="FFFFFF"/>
                <w:sz w:val="16"/>
                <w:szCs w:val="16"/>
              </w:rPr>
              <w:t>Risikoposition im Handelsbuch</w:t>
            </w:r>
          </w:p>
        </w:tc>
        <w:tc>
          <w:tcPr>
            <w:tcW w:w="1134" w:type="dxa"/>
            <w:gridSpan w:val="2"/>
            <w:shd w:val="clear" w:color="auto" w:fill="00B0F0"/>
          </w:tcPr>
          <w:p>
            <w:pPr>
              <w:keepNext/>
              <w:keepLines/>
              <w:tabs>
                <w:tab w:val="left" w:pos="2556"/>
              </w:tabs>
              <w:spacing w:before="20" w:after="20"/>
              <w:jc w:val="center"/>
              <w:rPr>
                <w:b/>
                <w:bCs/>
                <w:color w:val="FFFFFF"/>
                <w:sz w:val="16"/>
                <w:szCs w:val="16"/>
              </w:rPr>
            </w:pPr>
            <w:r>
              <w:rPr>
                <w:b/>
                <w:bCs/>
                <w:color w:val="FFFFFF"/>
                <w:sz w:val="16"/>
                <w:szCs w:val="16"/>
              </w:rPr>
              <w:t>Verbriefungsrisikoposition</w:t>
            </w:r>
          </w:p>
        </w:tc>
        <w:tc>
          <w:tcPr>
            <w:tcW w:w="2694" w:type="dxa"/>
            <w:gridSpan w:val="4"/>
            <w:shd w:val="clear" w:color="auto" w:fill="00B0F0"/>
          </w:tcPr>
          <w:p>
            <w:pPr>
              <w:keepNext/>
              <w:keepLines/>
              <w:tabs>
                <w:tab w:val="left" w:pos="2556"/>
              </w:tabs>
              <w:spacing w:before="20" w:after="20"/>
              <w:jc w:val="center"/>
              <w:rPr>
                <w:b/>
                <w:bCs/>
                <w:color w:val="FFFFFF"/>
                <w:sz w:val="16"/>
                <w:szCs w:val="16"/>
              </w:rPr>
            </w:pPr>
            <w:r>
              <w:rPr>
                <w:b/>
                <w:bCs/>
                <w:color w:val="FFFFFF"/>
                <w:sz w:val="16"/>
                <w:szCs w:val="16"/>
              </w:rPr>
              <w:t>Eigenmittelanforderungen</w:t>
            </w:r>
          </w:p>
        </w:tc>
        <w:tc>
          <w:tcPr>
            <w:tcW w:w="708" w:type="dxa"/>
            <w:vMerge w:val="restart"/>
            <w:tcBorders>
              <w:top w:val="single" w:sz="6" w:space="0" w:color="FFFFFF" w:themeColor="background1"/>
              <w:bottom w:val="single" w:sz="6" w:space="0" w:color="FFFFFF" w:themeColor="background1"/>
            </w:tcBorders>
            <w:shd w:val="clear" w:color="auto" w:fill="00B0F0"/>
            <w:textDirection w:val="btLr"/>
            <w:vAlign w:val="center"/>
          </w:tcPr>
          <w:p>
            <w:pPr>
              <w:keepNext/>
              <w:keepLines/>
              <w:tabs>
                <w:tab w:val="left" w:pos="2556"/>
              </w:tabs>
              <w:spacing w:before="20" w:after="20"/>
              <w:ind w:left="113" w:right="113"/>
              <w:jc w:val="center"/>
              <w:rPr>
                <w:b/>
                <w:bCs/>
                <w:color w:val="FFFFFF"/>
                <w:sz w:val="16"/>
                <w:szCs w:val="16"/>
              </w:rPr>
            </w:pPr>
            <w:r>
              <w:rPr>
                <w:b/>
                <w:bCs/>
                <w:color w:val="FFFFFF"/>
                <w:sz w:val="16"/>
                <w:szCs w:val="16"/>
              </w:rPr>
              <w:t>Gewichtungen der Eigenmittelanforderungen</w:t>
            </w:r>
          </w:p>
        </w:tc>
        <w:tc>
          <w:tcPr>
            <w:tcW w:w="567" w:type="dxa"/>
            <w:vMerge w:val="restart"/>
            <w:shd w:val="clear" w:color="auto" w:fill="00B0F0"/>
            <w:textDirection w:val="btLr"/>
            <w:vAlign w:val="center"/>
          </w:tcPr>
          <w:p>
            <w:pPr>
              <w:keepNext/>
              <w:keepLines/>
              <w:tabs>
                <w:tab w:val="left" w:pos="2556"/>
              </w:tabs>
              <w:spacing w:before="20" w:after="20"/>
              <w:ind w:left="113" w:right="113"/>
              <w:jc w:val="center"/>
              <w:rPr>
                <w:b/>
                <w:bCs/>
                <w:color w:val="FFFFFF"/>
                <w:sz w:val="16"/>
                <w:szCs w:val="16"/>
              </w:rPr>
            </w:pPr>
            <w:r>
              <w:rPr>
                <w:b/>
                <w:bCs/>
                <w:color w:val="FFFFFF"/>
                <w:sz w:val="16"/>
                <w:szCs w:val="16"/>
              </w:rPr>
              <w:t>Quote des antizyklischen</w:t>
            </w:r>
            <w:r>
              <w:rPr>
                <w:b/>
                <w:bCs/>
                <w:color w:val="FFFFFF"/>
                <w:sz w:val="16"/>
                <w:szCs w:val="16"/>
              </w:rPr>
              <w:br/>
              <w:t>Kapitalpuffers</w:t>
            </w:r>
          </w:p>
        </w:tc>
      </w:tr>
      <w:tr>
        <w:tblPrEx>
          <w:tblBorders>
            <w:top w:val="none" w:sz="0" w:space="0" w:color="auto"/>
            <w:left w:val="none" w:sz="0" w:space="0" w:color="auto"/>
            <w:right w:val="none" w:sz="0" w:space="0" w:color="auto"/>
            <w:insideH w:val="single" w:sz="4" w:space="0" w:color="auto"/>
            <w:insideV w:val="single" w:sz="4" w:space="0" w:color="auto"/>
          </w:tblBorders>
          <w:shd w:val="clear" w:color="auto" w:fill="auto"/>
        </w:tblPrEx>
        <w:trPr>
          <w:cantSplit/>
          <w:trHeight w:val="2236"/>
        </w:trPr>
        <w:tc>
          <w:tcPr>
            <w:tcW w:w="1050" w:type="dxa"/>
            <w:tcBorders>
              <w:top w:val="single" w:sz="8" w:space="0" w:color="FFFFFF" w:themeColor="background1"/>
              <w:left w:val="single" w:sz="8" w:space="0" w:color="FFFFFF" w:themeColor="background1"/>
              <w:bottom w:val="nil"/>
              <w:right w:val="single" w:sz="4" w:space="0" w:color="FFFFFF" w:themeColor="background1"/>
            </w:tcBorders>
            <w:shd w:val="clear" w:color="auto" w:fill="00B0F0"/>
          </w:tcPr>
          <w:p>
            <w:pPr>
              <w:pStyle w:val="Randziffer"/>
              <w:numPr>
                <w:ilvl w:val="0"/>
                <w:numId w:val="0"/>
              </w:numPr>
              <w:rPr>
                <w:sz w:val="14"/>
                <w:szCs w:val="14"/>
              </w:rPr>
            </w:pPr>
          </w:p>
        </w:tc>
        <w:tc>
          <w:tcPr>
            <w:tcW w:w="850" w:type="dxa"/>
            <w:tcBorders>
              <w:top w:val="single" w:sz="8" w:space="0" w:color="FFFFFF" w:themeColor="background1"/>
              <w:left w:val="single" w:sz="4" w:space="0" w:color="FFFFFF" w:themeColor="background1"/>
              <w:bottom w:val="nil"/>
              <w:right w:val="single" w:sz="4" w:space="0" w:color="FFFFFF" w:themeColor="background1"/>
            </w:tcBorders>
            <w:shd w:val="clear" w:color="auto" w:fill="00B0F0"/>
            <w:textDirection w:val="btLr"/>
            <w:vAlign w:val="center"/>
          </w:tcPr>
          <w:p>
            <w:pPr>
              <w:keepNext/>
              <w:keepLines/>
              <w:tabs>
                <w:tab w:val="left" w:pos="2556"/>
              </w:tabs>
              <w:spacing w:before="20" w:after="20"/>
              <w:ind w:left="113" w:right="113"/>
              <w:jc w:val="center"/>
              <w:rPr>
                <w:bCs/>
                <w:color w:val="FFFFFF"/>
                <w:sz w:val="14"/>
                <w:szCs w:val="14"/>
              </w:rPr>
            </w:pPr>
            <w:r>
              <w:rPr>
                <w:bCs/>
                <w:color w:val="FFFFFF"/>
                <w:sz w:val="14"/>
                <w:szCs w:val="14"/>
              </w:rPr>
              <w:t>Risikopositionswert (SA)</w:t>
            </w:r>
          </w:p>
        </w:tc>
        <w:tc>
          <w:tcPr>
            <w:tcW w:w="567" w:type="dxa"/>
            <w:tcBorders>
              <w:top w:val="single" w:sz="8" w:space="0" w:color="FFFFFF" w:themeColor="background1"/>
              <w:left w:val="single" w:sz="4" w:space="0" w:color="FFFFFF" w:themeColor="background1"/>
              <w:bottom w:val="nil"/>
              <w:right w:val="single" w:sz="4" w:space="0" w:color="FFFFFF" w:themeColor="background1"/>
            </w:tcBorders>
            <w:shd w:val="clear" w:color="auto" w:fill="00B0F0"/>
            <w:textDirection w:val="btLr"/>
          </w:tcPr>
          <w:p>
            <w:pPr>
              <w:keepNext/>
              <w:keepLines/>
              <w:tabs>
                <w:tab w:val="left" w:pos="2556"/>
              </w:tabs>
              <w:spacing w:before="20" w:after="20"/>
              <w:ind w:left="113" w:right="113"/>
              <w:jc w:val="center"/>
              <w:rPr>
                <w:bCs/>
                <w:color w:val="FFFFFF"/>
                <w:sz w:val="14"/>
                <w:szCs w:val="14"/>
              </w:rPr>
            </w:pPr>
            <w:r>
              <w:rPr>
                <w:bCs/>
                <w:color w:val="FFFFFF"/>
                <w:sz w:val="14"/>
                <w:szCs w:val="14"/>
              </w:rPr>
              <w:t>Risikopositionswert (IRB)</w:t>
            </w:r>
          </w:p>
        </w:tc>
        <w:tc>
          <w:tcPr>
            <w:tcW w:w="567" w:type="dxa"/>
            <w:tcBorders>
              <w:top w:val="single" w:sz="8" w:space="0" w:color="FFFFFF" w:themeColor="background1"/>
              <w:left w:val="single" w:sz="4" w:space="0" w:color="FFFFFF" w:themeColor="background1"/>
              <w:bottom w:val="nil"/>
              <w:right w:val="single" w:sz="4" w:space="0" w:color="FFFFFF" w:themeColor="background1"/>
            </w:tcBorders>
            <w:shd w:val="clear" w:color="auto" w:fill="00B0F0"/>
            <w:textDirection w:val="btLr"/>
            <w:vAlign w:val="center"/>
          </w:tcPr>
          <w:p>
            <w:pPr>
              <w:keepNext/>
              <w:keepLines/>
              <w:tabs>
                <w:tab w:val="left" w:pos="2556"/>
              </w:tabs>
              <w:spacing w:before="20" w:after="20"/>
              <w:ind w:left="113" w:right="113"/>
              <w:jc w:val="center"/>
              <w:rPr>
                <w:bCs/>
                <w:color w:val="FFFFFF"/>
                <w:sz w:val="14"/>
                <w:szCs w:val="14"/>
              </w:rPr>
            </w:pPr>
            <w:r>
              <w:rPr>
                <w:bCs/>
                <w:color w:val="FFFFFF"/>
                <w:sz w:val="14"/>
                <w:szCs w:val="14"/>
              </w:rPr>
              <w:t>Summe der Kauf- und Verkaufspositionen im Handelsbuch</w:t>
            </w:r>
          </w:p>
        </w:tc>
        <w:tc>
          <w:tcPr>
            <w:tcW w:w="567" w:type="dxa"/>
            <w:tcBorders>
              <w:top w:val="single" w:sz="8" w:space="0" w:color="FFFFFF" w:themeColor="background1"/>
              <w:left w:val="single" w:sz="4" w:space="0" w:color="FFFFFF" w:themeColor="background1"/>
              <w:bottom w:val="nil"/>
              <w:right w:val="single" w:sz="4" w:space="0" w:color="FFFFFF" w:themeColor="background1"/>
            </w:tcBorders>
            <w:shd w:val="clear" w:color="auto" w:fill="00B0F0"/>
            <w:textDirection w:val="btLr"/>
          </w:tcPr>
          <w:p>
            <w:pPr>
              <w:keepNext/>
              <w:keepLines/>
              <w:tabs>
                <w:tab w:val="left" w:pos="2556"/>
              </w:tabs>
              <w:spacing w:before="20" w:after="20"/>
              <w:ind w:left="113" w:right="113"/>
              <w:jc w:val="center"/>
              <w:rPr>
                <w:bCs/>
                <w:color w:val="FFFFFF"/>
                <w:sz w:val="14"/>
                <w:szCs w:val="14"/>
              </w:rPr>
            </w:pPr>
            <w:r>
              <w:rPr>
                <w:bCs/>
                <w:color w:val="FFFFFF"/>
                <w:sz w:val="14"/>
                <w:szCs w:val="14"/>
              </w:rPr>
              <w:t>Wert der Risikoposition im Handelsbuch</w:t>
            </w:r>
          </w:p>
        </w:tc>
        <w:tc>
          <w:tcPr>
            <w:tcW w:w="567" w:type="dxa"/>
            <w:tcBorders>
              <w:top w:val="single" w:sz="8" w:space="0" w:color="FFFFFF" w:themeColor="background1"/>
              <w:left w:val="single" w:sz="4" w:space="0" w:color="FFFFFF" w:themeColor="background1"/>
              <w:bottom w:val="nil"/>
              <w:right w:val="single" w:sz="4" w:space="0" w:color="FFFFFF" w:themeColor="background1"/>
            </w:tcBorders>
            <w:shd w:val="clear" w:color="auto" w:fill="00B0F0"/>
            <w:textDirection w:val="btLr"/>
            <w:vAlign w:val="center"/>
          </w:tcPr>
          <w:p>
            <w:pPr>
              <w:keepNext/>
              <w:keepLines/>
              <w:tabs>
                <w:tab w:val="left" w:pos="2556"/>
              </w:tabs>
              <w:spacing w:before="20" w:after="20"/>
              <w:ind w:left="113" w:right="113"/>
              <w:jc w:val="center"/>
              <w:rPr>
                <w:bCs/>
                <w:color w:val="FFFFFF"/>
                <w:sz w:val="14"/>
                <w:szCs w:val="14"/>
              </w:rPr>
            </w:pPr>
            <w:r>
              <w:rPr>
                <w:bCs/>
                <w:color w:val="FFFFFF"/>
                <w:sz w:val="14"/>
                <w:szCs w:val="14"/>
              </w:rPr>
              <w:t>Risikopositionswert (SA)</w:t>
            </w:r>
          </w:p>
        </w:tc>
        <w:tc>
          <w:tcPr>
            <w:tcW w:w="567" w:type="dxa"/>
            <w:tcBorders>
              <w:top w:val="single" w:sz="8" w:space="0" w:color="FFFFFF" w:themeColor="background1"/>
              <w:left w:val="single" w:sz="4" w:space="0" w:color="FFFFFF" w:themeColor="background1"/>
              <w:bottom w:val="nil"/>
              <w:right w:val="single" w:sz="4" w:space="0" w:color="FFFFFF" w:themeColor="background1"/>
            </w:tcBorders>
            <w:shd w:val="clear" w:color="auto" w:fill="00B0F0"/>
            <w:textDirection w:val="btLr"/>
          </w:tcPr>
          <w:p>
            <w:pPr>
              <w:keepNext/>
              <w:keepLines/>
              <w:tabs>
                <w:tab w:val="left" w:pos="2556"/>
              </w:tabs>
              <w:spacing w:before="20" w:after="20"/>
              <w:ind w:left="113" w:right="113"/>
              <w:jc w:val="center"/>
              <w:rPr>
                <w:bCs/>
                <w:color w:val="FFFFFF"/>
                <w:sz w:val="14"/>
                <w:szCs w:val="14"/>
              </w:rPr>
            </w:pPr>
            <w:r>
              <w:rPr>
                <w:bCs/>
                <w:color w:val="FFFFFF"/>
                <w:sz w:val="14"/>
                <w:szCs w:val="14"/>
              </w:rPr>
              <w:t>Risikopositionswert (IRB)</w:t>
            </w:r>
          </w:p>
        </w:tc>
        <w:tc>
          <w:tcPr>
            <w:tcW w:w="709" w:type="dxa"/>
            <w:tcBorders>
              <w:top w:val="single" w:sz="8" w:space="0" w:color="FFFFFF" w:themeColor="background1"/>
              <w:left w:val="single" w:sz="4" w:space="0" w:color="FFFFFF" w:themeColor="background1"/>
              <w:bottom w:val="nil"/>
              <w:right w:val="single" w:sz="4" w:space="0" w:color="FFFFFF" w:themeColor="background1"/>
            </w:tcBorders>
            <w:shd w:val="clear" w:color="auto" w:fill="00B0F0"/>
            <w:textDirection w:val="btLr"/>
            <w:vAlign w:val="center"/>
          </w:tcPr>
          <w:p>
            <w:pPr>
              <w:keepNext/>
              <w:keepLines/>
              <w:tabs>
                <w:tab w:val="left" w:pos="2556"/>
              </w:tabs>
              <w:spacing w:before="20" w:after="20"/>
              <w:ind w:left="113" w:right="113"/>
              <w:jc w:val="center"/>
              <w:rPr>
                <w:bCs/>
                <w:color w:val="FFFFFF"/>
                <w:sz w:val="14"/>
                <w:szCs w:val="14"/>
              </w:rPr>
            </w:pPr>
            <w:r>
              <w:rPr>
                <w:bCs/>
                <w:color w:val="FFFFFF"/>
                <w:sz w:val="14"/>
                <w:szCs w:val="14"/>
              </w:rPr>
              <w:t>davon: Allgemeine Kreditrisikopositionen</w:t>
            </w:r>
          </w:p>
        </w:tc>
        <w:tc>
          <w:tcPr>
            <w:tcW w:w="709" w:type="dxa"/>
            <w:tcBorders>
              <w:top w:val="single" w:sz="8" w:space="0" w:color="FFFFFF" w:themeColor="background1"/>
              <w:left w:val="single" w:sz="4" w:space="0" w:color="FFFFFF" w:themeColor="background1"/>
              <w:bottom w:val="nil"/>
              <w:right w:val="single" w:sz="4" w:space="0" w:color="FFFFFF" w:themeColor="background1"/>
            </w:tcBorders>
            <w:shd w:val="clear" w:color="auto" w:fill="00B0F0"/>
            <w:textDirection w:val="btLr"/>
            <w:vAlign w:val="center"/>
          </w:tcPr>
          <w:p>
            <w:pPr>
              <w:keepNext/>
              <w:keepLines/>
              <w:tabs>
                <w:tab w:val="left" w:pos="2556"/>
              </w:tabs>
              <w:spacing w:before="20" w:after="20"/>
              <w:ind w:left="113" w:right="113"/>
              <w:jc w:val="center"/>
              <w:rPr>
                <w:bCs/>
                <w:color w:val="FFFFFF"/>
                <w:sz w:val="14"/>
                <w:szCs w:val="14"/>
              </w:rPr>
            </w:pPr>
            <w:r>
              <w:rPr>
                <w:bCs/>
                <w:color w:val="FFFFFF"/>
                <w:sz w:val="14"/>
                <w:szCs w:val="14"/>
              </w:rPr>
              <w:t>davon: Risikopositionen im Handelsbuch</w:t>
            </w:r>
          </w:p>
        </w:tc>
        <w:tc>
          <w:tcPr>
            <w:tcW w:w="567" w:type="dxa"/>
            <w:tcBorders>
              <w:top w:val="single" w:sz="8" w:space="0" w:color="FFFFFF" w:themeColor="background1"/>
              <w:left w:val="single" w:sz="4" w:space="0" w:color="FFFFFF" w:themeColor="background1"/>
              <w:bottom w:val="nil"/>
              <w:right w:val="single" w:sz="6" w:space="0" w:color="FFFFFF" w:themeColor="background1"/>
            </w:tcBorders>
            <w:shd w:val="clear" w:color="auto" w:fill="00B0F0"/>
            <w:textDirection w:val="btLr"/>
            <w:vAlign w:val="center"/>
          </w:tcPr>
          <w:p>
            <w:pPr>
              <w:keepNext/>
              <w:keepLines/>
              <w:tabs>
                <w:tab w:val="left" w:pos="2556"/>
              </w:tabs>
              <w:spacing w:before="20" w:after="20"/>
              <w:ind w:left="113" w:right="113"/>
              <w:jc w:val="center"/>
              <w:rPr>
                <w:bCs/>
                <w:color w:val="FFFFFF"/>
                <w:sz w:val="14"/>
                <w:szCs w:val="14"/>
              </w:rPr>
            </w:pPr>
            <w:r>
              <w:rPr>
                <w:bCs/>
                <w:color w:val="FFFFFF"/>
                <w:sz w:val="14"/>
                <w:szCs w:val="14"/>
              </w:rPr>
              <w:t>davon: Verbriefungsrisikopositionen</w:t>
            </w:r>
          </w:p>
        </w:tc>
        <w:tc>
          <w:tcPr>
            <w:tcW w:w="7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B0F0"/>
            <w:textDirection w:val="btLr"/>
            <w:vAlign w:val="center"/>
          </w:tcPr>
          <w:p>
            <w:pPr>
              <w:keepNext/>
              <w:keepLines/>
              <w:tabs>
                <w:tab w:val="left" w:pos="2556"/>
              </w:tabs>
              <w:spacing w:before="20" w:after="20"/>
              <w:ind w:left="113" w:right="113"/>
              <w:jc w:val="center"/>
              <w:rPr>
                <w:bCs/>
                <w:color w:val="FFFFFF"/>
                <w:sz w:val="14"/>
                <w:szCs w:val="14"/>
              </w:rPr>
            </w:pPr>
            <w:r>
              <w:rPr>
                <w:bCs/>
                <w:color w:val="FFFFFF"/>
                <w:sz w:val="14"/>
                <w:szCs w:val="14"/>
              </w:rPr>
              <w:t>Summe</w:t>
            </w:r>
          </w:p>
        </w:tc>
        <w:tc>
          <w:tcPr>
            <w:tcW w:w="708" w:type="dxa"/>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textDirection w:val="btLr"/>
            <w:vAlign w:val="center"/>
          </w:tcPr>
          <w:p>
            <w:pPr>
              <w:keepNext/>
              <w:keepLines/>
              <w:tabs>
                <w:tab w:val="left" w:pos="2556"/>
              </w:tabs>
              <w:spacing w:before="20" w:after="20"/>
              <w:ind w:left="113" w:right="113"/>
              <w:jc w:val="center"/>
              <w:rPr>
                <w:bCs/>
                <w:color w:val="FFFFFF"/>
                <w:sz w:val="14"/>
                <w:szCs w:val="14"/>
              </w:rPr>
            </w:pPr>
          </w:p>
        </w:tc>
        <w:tc>
          <w:tcPr>
            <w:tcW w:w="567" w:type="dxa"/>
            <w:vMerge/>
            <w:tcBorders>
              <w:left w:val="single" w:sz="6" w:space="0" w:color="FFFFFF" w:themeColor="background1"/>
              <w:bottom w:val="nil"/>
            </w:tcBorders>
            <w:shd w:val="clear" w:color="auto" w:fill="000000" w:themeFill="text1"/>
            <w:textDirection w:val="btLr"/>
            <w:vAlign w:val="center"/>
          </w:tcPr>
          <w:p>
            <w:pPr>
              <w:keepNext/>
              <w:keepLines/>
              <w:tabs>
                <w:tab w:val="left" w:pos="2556"/>
              </w:tabs>
              <w:spacing w:before="20" w:after="20"/>
              <w:ind w:left="113" w:right="113"/>
              <w:jc w:val="center"/>
              <w:rPr>
                <w:bCs/>
                <w:color w:val="FFFFFF"/>
                <w:sz w:val="14"/>
                <w:szCs w:val="14"/>
              </w:rPr>
            </w:pPr>
          </w:p>
        </w:tc>
      </w:tr>
      <w:tr>
        <w:tblPrEx>
          <w:tblBorders>
            <w:top w:val="none" w:sz="0" w:space="0" w:color="auto"/>
            <w:left w:val="none" w:sz="0" w:space="0" w:color="auto"/>
            <w:right w:val="none" w:sz="0" w:space="0" w:color="auto"/>
          </w:tblBorders>
        </w:tblPrEx>
        <w:trPr>
          <w:trHeight w:hRule="exact" w:val="348"/>
        </w:trPr>
        <w:tc>
          <w:tcPr>
            <w:tcW w:w="1050" w:type="dxa"/>
            <w:tcBorders>
              <w:top w:val="nil"/>
              <w:left w:val="single" w:sz="4" w:space="0" w:color="auto"/>
              <w:bottom w:val="single" w:sz="4" w:space="0" w:color="auto"/>
              <w:right w:val="single" w:sz="4" w:space="0" w:color="auto"/>
            </w:tcBorders>
            <w:vAlign w:val="center"/>
          </w:tcPr>
          <w:p>
            <w:pPr>
              <w:pStyle w:val="Randziffer"/>
              <w:numPr>
                <w:ilvl w:val="0"/>
                <w:numId w:val="0"/>
              </w:numPr>
              <w:jc w:val="left"/>
              <w:rPr>
                <w:sz w:val="14"/>
                <w:szCs w:val="14"/>
              </w:rPr>
            </w:pPr>
            <w:r>
              <w:rPr>
                <w:sz w:val="14"/>
                <w:szCs w:val="14"/>
              </w:rPr>
              <w:t>Deutschland</w:t>
            </w:r>
          </w:p>
        </w:tc>
        <w:tc>
          <w:tcPr>
            <w:tcW w:w="850" w:type="dxa"/>
            <w:tcBorders>
              <w:top w:val="nil"/>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587.865</w:t>
            </w:r>
          </w:p>
        </w:tc>
        <w:tc>
          <w:tcPr>
            <w:tcW w:w="567" w:type="dxa"/>
            <w:tcBorders>
              <w:top w:val="nil"/>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nil"/>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nil"/>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nil"/>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nil"/>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nil"/>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30.622</w:t>
            </w:r>
          </w:p>
        </w:tc>
        <w:tc>
          <w:tcPr>
            <w:tcW w:w="709" w:type="dxa"/>
            <w:tcBorders>
              <w:top w:val="nil"/>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nil"/>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nil"/>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30.622</w:t>
            </w:r>
          </w:p>
        </w:tc>
        <w:tc>
          <w:tcPr>
            <w:tcW w:w="708" w:type="dxa"/>
            <w:tcBorders>
              <w:top w:val="single" w:sz="6" w:space="0" w:color="FFFFFF" w:themeColor="background1"/>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92,60</w:t>
            </w:r>
          </w:p>
        </w:tc>
        <w:tc>
          <w:tcPr>
            <w:tcW w:w="567" w:type="dxa"/>
            <w:tcBorders>
              <w:top w:val="nil"/>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0,00</w:t>
            </w:r>
          </w:p>
        </w:tc>
      </w:tr>
      <w:tr>
        <w:tblPrEx>
          <w:tblBorders>
            <w:top w:val="none" w:sz="0" w:space="0" w:color="auto"/>
            <w:left w:val="none" w:sz="0" w:space="0" w:color="auto"/>
            <w:right w:val="none" w:sz="0" w:space="0" w:color="auto"/>
          </w:tblBorders>
        </w:tblPrEx>
        <w:trPr>
          <w:trHeight w:hRule="exact" w:val="348"/>
        </w:trPr>
        <w:tc>
          <w:tcPr>
            <w:tcW w:w="1050" w:type="dxa"/>
            <w:tcBorders>
              <w:top w:val="single" w:sz="4" w:space="0" w:color="auto"/>
              <w:left w:val="single" w:sz="4" w:space="0" w:color="auto"/>
              <w:bottom w:val="single" w:sz="4" w:space="0" w:color="auto"/>
              <w:right w:val="single" w:sz="4" w:space="0" w:color="auto"/>
            </w:tcBorders>
            <w:vAlign w:val="center"/>
          </w:tcPr>
          <w:p>
            <w:pPr>
              <w:pStyle w:val="Randziffer"/>
              <w:numPr>
                <w:ilvl w:val="0"/>
                <w:numId w:val="0"/>
              </w:numPr>
              <w:jc w:val="left"/>
              <w:rPr>
                <w:sz w:val="14"/>
                <w:szCs w:val="14"/>
              </w:rPr>
            </w:pPr>
            <w:r>
              <w:rPr>
                <w:rFonts w:eastAsia="Calibri"/>
                <w:sz w:val="14"/>
                <w:szCs w:val="14"/>
              </w:rPr>
              <w:t>Niederlande</w:t>
            </w:r>
          </w:p>
        </w:tc>
        <w:tc>
          <w:tcPr>
            <w:tcW w:w="850"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5.953</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378</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378</w:t>
            </w:r>
          </w:p>
        </w:tc>
        <w:tc>
          <w:tcPr>
            <w:tcW w:w="708"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1,14</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0,00</w:t>
            </w:r>
          </w:p>
        </w:tc>
      </w:tr>
      <w:tr>
        <w:tblPrEx>
          <w:tblBorders>
            <w:top w:val="none" w:sz="0" w:space="0" w:color="auto"/>
            <w:left w:val="none" w:sz="0" w:space="0" w:color="auto"/>
            <w:right w:val="none" w:sz="0" w:space="0" w:color="auto"/>
          </w:tblBorders>
        </w:tblPrEx>
        <w:trPr>
          <w:trHeight w:hRule="exact" w:val="348"/>
        </w:trPr>
        <w:tc>
          <w:tcPr>
            <w:tcW w:w="1050" w:type="dxa"/>
            <w:tcBorders>
              <w:top w:val="single" w:sz="4" w:space="0" w:color="auto"/>
              <w:left w:val="single" w:sz="4" w:space="0" w:color="auto"/>
              <w:bottom w:val="single" w:sz="4" w:space="0" w:color="auto"/>
              <w:right w:val="single" w:sz="4" w:space="0" w:color="auto"/>
            </w:tcBorders>
            <w:vAlign w:val="center"/>
          </w:tcPr>
          <w:p>
            <w:pPr>
              <w:pStyle w:val="Randziffer"/>
              <w:numPr>
                <w:ilvl w:val="0"/>
                <w:numId w:val="0"/>
              </w:numPr>
              <w:jc w:val="left"/>
              <w:rPr>
                <w:sz w:val="14"/>
                <w:szCs w:val="14"/>
              </w:rPr>
            </w:pPr>
            <w:r>
              <w:rPr>
                <w:rFonts w:eastAsia="Calibri"/>
                <w:sz w:val="14"/>
                <w:szCs w:val="14"/>
              </w:rPr>
              <w:t>Luxemburg</w:t>
            </w:r>
          </w:p>
        </w:tc>
        <w:tc>
          <w:tcPr>
            <w:tcW w:w="850"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11.786</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844</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844</w:t>
            </w:r>
          </w:p>
        </w:tc>
        <w:tc>
          <w:tcPr>
            <w:tcW w:w="708"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2,55</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0,00</w:t>
            </w:r>
          </w:p>
        </w:tc>
      </w:tr>
      <w:tr>
        <w:tblPrEx>
          <w:tblBorders>
            <w:top w:val="none" w:sz="0" w:space="0" w:color="auto"/>
            <w:left w:val="none" w:sz="0" w:space="0" w:color="auto"/>
            <w:right w:val="none" w:sz="0" w:space="0" w:color="auto"/>
          </w:tblBorders>
        </w:tblPrEx>
        <w:trPr>
          <w:trHeight w:hRule="exact" w:val="348"/>
        </w:trPr>
        <w:tc>
          <w:tcPr>
            <w:tcW w:w="1050" w:type="dxa"/>
            <w:tcBorders>
              <w:top w:val="single" w:sz="4" w:space="0" w:color="auto"/>
              <w:left w:val="single" w:sz="4" w:space="0" w:color="auto"/>
              <w:bottom w:val="single" w:sz="4" w:space="0" w:color="auto"/>
              <w:right w:val="single" w:sz="4" w:space="0" w:color="auto"/>
            </w:tcBorders>
            <w:vAlign w:val="center"/>
          </w:tcPr>
          <w:p>
            <w:pPr>
              <w:pStyle w:val="Randziffer"/>
              <w:numPr>
                <w:ilvl w:val="0"/>
                <w:numId w:val="0"/>
              </w:numPr>
              <w:jc w:val="left"/>
              <w:rPr>
                <w:rFonts w:eastAsia="Calibri"/>
                <w:sz w:val="14"/>
                <w:szCs w:val="14"/>
              </w:rPr>
            </w:pPr>
            <w:r>
              <w:rPr>
                <w:rFonts w:eastAsia="Calibri"/>
                <w:sz w:val="14"/>
                <w:szCs w:val="14"/>
              </w:rPr>
              <w:t>Norwegen</w:t>
            </w:r>
          </w:p>
        </w:tc>
        <w:tc>
          <w:tcPr>
            <w:tcW w:w="850"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1.992</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16</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16</w:t>
            </w:r>
          </w:p>
        </w:tc>
        <w:tc>
          <w:tcPr>
            <w:tcW w:w="708"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0,05</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2,50</w:t>
            </w:r>
          </w:p>
        </w:tc>
      </w:tr>
      <w:tr>
        <w:tblPrEx>
          <w:tblBorders>
            <w:top w:val="none" w:sz="0" w:space="0" w:color="auto"/>
            <w:left w:val="none" w:sz="0" w:space="0" w:color="auto"/>
            <w:right w:val="none" w:sz="0" w:space="0" w:color="auto"/>
          </w:tblBorders>
        </w:tblPrEx>
        <w:trPr>
          <w:trHeight w:hRule="exact" w:val="348"/>
        </w:trPr>
        <w:tc>
          <w:tcPr>
            <w:tcW w:w="1050" w:type="dxa"/>
            <w:tcBorders>
              <w:top w:val="single" w:sz="4" w:space="0" w:color="auto"/>
              <w:left w:val="single" w:sz="4" w:space="0" w:color="auto"/>
              <w:bottom w:val="single" w:sz="4" w:space="0" w:color="auto"/>
              <w:right w:val="single" w:sz="4" w:space="0" w:color="auto"/>
            </w:tcBorders>
            <w:vAlign w:val="center"/>
          </w:tcPr>
          <w:p>
            <w:pPr>
              <w:pStyle w:val="Randziffer"/>
              <w:numPr>
                <w:ilvl w:val="0"/>
                <w:numId w:val="0"/>
              </w:numPr>
              <w:jc w:val="left"/>
              <w:rPr>
                <w:rFonts w:eastAsia="Calibri"/>
                <w:sz w:val="14"/>
                <w:szCs w:val="14"/>
              </w:rPr>
            </w:pPr>
            <w:r>
              <w:rPr>
                <w:rFonts w:eastAsia="Calibri"/>
                <w:sz w:val="14"/>
                <w:szCs w:val="14"/>
              </w:rPr>
              <w:t>Schweden</w:t>
            </w:r>
          </w:p>
        </w:tc>
        <w:tc>
          <w:tcPr>
            <w:tcW w:w="850"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1.995</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16</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16</w:t>
            </w:r>
          </w:p>
        </w:tc>
        <w:tc>
          <w:tcPr>
            <w:tcW w:w="708"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0,05</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2,50</w:t>
            </w:r>
          </w:p>
        </w:tc>
      </w:tr>
      <w:tr>
        <w:tblPrEx>
          <w:tblBorders>
            <w:top w:val="none" w:sz="0" w:space="0" w:color="auto"/>
            <w:left w:val="none" w:sz="0" w:space="0" w:color="auto"/>
            <w:right w:val="none" w:sz="0" w:space="0" w:color="auto"/>
          </w:tblBorders>
        </w:tblPrEx>
        <w:trPr>
          <w:trHeight w:hRule="exact" w:val="348"/>
        </w:trPr>
        <w:tc>
          <w:tcPr>
            <w:tcW w:w="1050" w:type="dxa"/>
            <w:tcBorders>
              <w:top w:val="single" w:sz="4" w:space="0" w:color="auto"/>
              <w:left w:val="single" w:sz="4" w:space="0" w:color="auto"/>
              <w:bottom w:val="single" w:sz="4" w:space="0" w:color="auto"/>
              <w:right w:val="single" w:sz="4" w:space="0" w:color="auto"/>
            </w:tcBorders>
            <w:vAlign w:val="center"/>
          </w:tcPr>
          <w:p>
            <w:pPr>
              <w:pStyle w:val="Randziffer"/>
              <w:numPr>
                <w:ilvl w:val="0"/>
                <w:numId w:val="0"/>
              </w:numPr>
              <w:jc w:val="left"/>
              <w:rPr>
                <w:rFonts w:eastAsia="Calibri"/>
                <w:sz w:val="14"/>
                <w:szCs w:val="14"/>
              </w:rPr>
            </w:pPr>
            <w:r>
              <w:rPr>
                <w:rFonts w:eastAsia="Calibri"/>
                <w:sz w:val="14"/>
                <w:szCs w:val="14"/>
              </w:rPr>
              <w:t>Frankreich</w:t>
            </w:r>
          </w:p>
        </w:tc>
        <w:tc>
          <w:tcPr>
            <w:tcW w:w="850"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4.979</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184</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184</w:t>
            </w:r>
          </w:p>
        </w:tc>
        <w:tc>
          <w:tcPr>
            <w:tcW w:w="708"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0,56</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0,25</w:t>
            </w:r>
          </w:p>
        </w:tc>
      </w:tr>
      <w:tr>
        <w:tblPrEx>
          <w:tblBorders>
            <w:top w:val="none" w:sz="0" w:space="0" w:color="auto"/>
            <w:left w:val="none" w:sz="0" w:space="0" w:color="auto"/>
            <w:right w:val="none" w:sz="0" w:space="0" w:color="auto"/>
          </w:tblBorders>
        </w:tblPrEx>
        <w:trPr>
          <w:trHeight w:hRule="exact" w:val="465"/>
        </w:trPr>
        <w:tc>
          <w:tcPr>
            <w:tcW w:w="1050" w:type="dxa"/>
            <w:tcBorders>
              <w:top w:val="single" w:sz="4" w:space="0" w:color="auto"/>
              <w:left w:val="single" w:sz="4" w:space="0" w:color="auto"/>
              <w:bottom w:val="single" w:sz="4" w:space="0" w:color="auto"/>
              <w:right w:val="single" w:sz="4" w:space="0" w:color="auto"/>
            </w:tcBorders>
            <w:vAlign w:val="center"/>
          </w:tcPr>
          <w:p>
            <w:pPr>
              <w:pStyle w:val="Randziffer"/>
              <w:numPr>
                <w:ilvl w:val="0"/>
                <w:numId w:val="0"/>
              </w:numPr>
              <w:jc w:val="left"/>
              <w:rPr>
                <w:rFonts w:eastAsia="Calibri"/>
                <w:sz w:val="14"/>
                <w:szCs w:val="14"/>
              </w:rPr>
            </w:pPr>
            <w:r>
              <w:rPr>
                <w:rFonts w:eastAsia="Calibri"/>
                <w:sz w:val="14"/>
                <w:szCs w:val="14"/>
              </w:rPr>
              <w:t>Vereinigte Staaten</w:t>
            </w:r>
          </w:p>
        </w:tc>
        <w:tc>
          <w:tcPr>
            <w:tcW w:w="850"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5.071</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386</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386</w:t>
            </w:r>
          </w:p>
        </w:tc>
        <w:tc>
          <w:tcPr>
            <w:tcW w:w="708"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1,17</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0,00</w:t>
            </w:r>
          </w:p>
        </w:tc>
      </w:tr>
      <w:tr>
        <w:tblPrEx>
          <w:tblBorders>
            <w:top w:val="none" w:sz="0" w:space="0" w:color="auto"/>
            <w:left w:val="none" w:sz="0" w:space="0" w:color="auto"/>
            <w:right w:val="none" w:sz="0" w:space="0" w:color="auto"/>
          </w:tblBorders>
        </w:tblPrEx>
        <w:trPr>
          <w:trHeight w:hRule="exact" w:val="465"/>
        </w:trPr>
        <w:tc>
          <w:tcPr>
            <w:tcW w:w="1050" w:type="dxa"/>
            <w:tcBorders>
              <w:top w:val="single" w:sz="4" w:space="0" w:color="auto"/>
              <w:left w:val="single" w:sz="4" w:space="0" w:color="auto"/>
              <w:bottom w:val="single" w:sz="4" w:space="0" w:color="auto"/>
              <w:right w:val="single" w:sz="4" w:space="0" w:color="auto"/>
            </w:tcBorders>
            <w:vAlign w:val="center"/>
          </w:tcPr>
          <w:p>
            <w:pPr>
              <w:pStyle w:val="Randziffer"/>
              <w:numPr>
                <w:ilvl w:val="0"/>
                <w:numId w:val="0"/>
              </w:numPr>
              <w:jc w:val="left"/>
              <w:rPr>
                <w:rFonts w:eastAsia="Calibri"/>
                <w:sz w:val="14"/>
                <w:szCs w:val="14"/>
              </w:rPr>
            </w:pPr>
            <w:r>
              <w:rPr>
                <w:rFonts w:eastAsia="Calibri"/>
                <w:sz w:val="14"/>
                <w:szCs w:val="14"/>
              </w:rPr>
              <w:t>Großbritannien</w:t>
            </w:r>
          </w:p>
        </w:tc>
        <w:tc>
          <w:tcPr>
            <w:tcW w:w="850"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1.031</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82</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82</w:t>
            </w:r>
          </w:p>
        </w:tc>
        <w:tc>
          <w:tcPr>
            <w:tcW w:w="708"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0,25</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1,00</w:t>
            </w:r>
          </w:p>
        </w:tc>
      </w:tr>
      <w:tr>
        <w:tblPrEx>
          <w:tblBorders>
            <w:top w:val="none" w:sz="0" w:space="0" w:color="auto"/>
            <w:left w:val="none" w:sz="0" w:space="0" w:color="auto"/>
            <w:right w:val="none" w:sz="0" w:space="0" w:color="auto"/>
          </w:tblBorders>
        </w:tblPrEx>
        <w:trPr>
          <w:trHeight w:hRule="exact" w:val="465"/>
        </w:trPr>
        <w:tc>
          <w:tcPr>
            <w:tcW w:w="1050" w:type="dxa"/>
            <w:tcBorders>
              <w:top w:val="single" w:sz="4" w:space="0" w:color="auto"/>
              <w:left w:val="single" w:sz="4" w:space="0" w:color="auto"/>
              <w:bottom w:val="single" w:sz="4" w:space="0" w:color="auto"/>
              <w:right w:val="single" w:sz="4" w:space="0" w:color="auto"/>
            </w:tcBorders>
            <w:vAlign w:val="center"/>
          </w:tcPr>
          <w:p>
            <w:pPr>
              <w:pStyle w:val="Randziffer"/>
              <w:numPr>
                <w:ilvl w:val="0"/>
                <w:numId w:val="0"/>
              </w:numPr>
              <w:jc w:val="left"/>
              <w:rPr>
                <w:rFonts w:eastAsia="Calibri"/>
                <w:sz w:val="14"/>
                <w:szCs w:val="14"/>
              </w:rPr>
            </w:pPr>
            <w:r>
              <w:rPr>
                <w:rFonts w:eastAsia="Calibri"/>
                <w:sz w:val="14"/>
                <w:szCs w:val="14"/>
              </w:rPr>
              <w:t>Irland</w:t>
            </w:r>
          </w:p>
        </w:tc>
        <w:tc>
          <w:tcPr>
            <w:tcW w:w="850"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1.290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103</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103</w:t>
            </w:r>
          </w:p>
        </w:tc>
        <w:tc>
          <w:tcPr>
            <w:tcW w:w="708"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0,31</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1,00</w:t>
            </w:r>
          </w:p>
        </w:tc>
      </w:tr>
      <w:tr>
        <w:tblPrEx>
          <w:tblBorders>
            <w:top w:val="none" w:sz="0" w:space="0" w:color="auto"/>
            <w:left w:val="none" w:sz="0" w:space="0" w:color="auto"/>
            <w:right w:val="none" w:sz="0" w:space="0" w:color="auto"/>
          </w:tblBorders>
        </w:tblPrEx>
        <w:trPr>
          <w:trHeight w:hRule="exact" w:val="348"/>
        </w:trPr>
        <w:tc>
          <w:tcPr>
            <w:tcW w:w="1050" w:type="dxa"/>
            <w:tcBorders>
              <w:top w:val="single" w:sz="4" w:space="0" w:color="auto"/>
              <w:left w:val="single" w:sz="4" w:space="0" w:color="auto"/>
              <w:bottom w:val="single" w:sz="4" w:space="0" w:color="auto"/>
              <w:right w:val="single" w:sz="4" w:space="0" w:color="auto"/>
            </w:tcBorders>
            <w:vAlign w:val="center"/>
          </w:tcPr>
          <w:p>
            <w:pPr>
              <w:pStyle w:val="Randziffer"/>
              <w:numPr>
                <w:ilvl w:val="0"/>
                <w:numId w:val="0"/>
              </w:numPr>
              <w:jc w:val="left"/>
              <w:rPr>
                <w:sz w:val="14"/>
                <w:szCs w:val="14"/>
              </w:rPr>
            </w:pPr>
            <w:r>
              <w:rPr>
                <w:rFonts w:eastAsia="Calibri"/>
                <w:sz w:val="14"/>
                <w:szCs w:val="14"/>
              </w:rPr>
              <w:t>Sonstige</w:t>
            </w:r>
          </w:p>
        </w:tc>
        <w:tc>
          <w:tcPr>
            <w:tcW w:w="850"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8.424</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438</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438</w:t>
            </w:r>
          </w:p>
        </w:tc>
        <w:tc>
          <w:tcPr>
            <w:tcW w:w="708"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1,32</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r>
              <w:rPr>
                <w:sz w:val="14"/>
                <w:szCs w:val="14"/>
              </w:rPr>
              <w:t>0</w:t>
            </w:r>
          </w:p>
        </w:tc>
      </w:tr>
      <w:tr>
        <w:tblPrEx>
          <w:tblBorders>
            <w:top w:val="none" w:sz="0" w:space="0" w:color="auto"/>
            <w:left w:val="none" w:sz="0" w:space="0" w:color="auto"/>
            <w:right w:val="none" w:sz="0" w:space="0" w:color="auto"/>
          </w:tblBorders>
        </w:tblPrEx>
        <w:trPr>
          <w:trHeight w:hRule="exact" w:val="348"/>
        </w:trPr>
        <w:tc>
          <w:tcPr>
            <w:tcW w:w="1050" w:type="dxa"/>
            <w:tcBorders>
              <w:top w:val="single" w:sz="4" w:space="0" w:color="auto"/>
              <w:left w:val="single" w:sz="4" w:space="0" w:color="auto"/>
              <w:bottom w:val="single" w:sz="4" w:space="0" w:color="auto"/>
              <w:right w:val="single" w:sz="4" w:space="0" w:color="auto"/>
            </w:tcBorders>
            <w:vAlign w:val="center"/>
          </w:tcPr>
          <w:p>
            <w:pPr>
              <w:pStyle w:val="Randziffer"/>
              <w:numPr>
                <w:ilvl w:val="0"/>
                <w:numId w:val="0"/>
              </w:numPr>
              <w:jc w:val="left"/>
              <w:rPr>
                <w:sz w:val="14"/>
                <w:szCs w:val="14"/>
              </w:rPr>
            </w:pPr>
            <w:r>
              <w:rPr>
                <w:rFonts w:eastAsia="Calibri"/>
                <w:b/>
                <w:sz w:val="14"/>
                <w:szCs w:val="14"/>
              </w:rPr>
              <w:t>Summe</w:t>
            </w:r>
          </w:p>
        </w:tc>
        <w:tc>
          <w:tcPr>
            <w:tcW w:w="850"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b/>
                <w:sz w:val="14"/>
                <w:szCs w:val="14"/>
              </w:rPr>
            </w:pPr>
            <w:r>
              <w:rPr>
                <w:b/>
                <w:sz w:val="14"/>
                <w:szCs w:val="14"/>
              </w:rPr>
              <w:t>630.386</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b/>
                <w:sz w:val="14"/>
                <w:szCs w:val="14"/>
              </w:rPr>
            </w:pPr>
            <w:r>
              <w:rPr>
                <w:b/>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b/>
                <w:sz w:val="14"/>
                <w:szCs w:val="14"/>
              </w:rPr>
            </w:pPr>
            <w:r>
              <w:rPr>
                <w:b/>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b/>
                <w:sz w:val="14"/>
                <w:szCs w:val="14"/>
              </w:rPr>
            </w:pPr>
            <w:r>
              <w:rPr>
                <w:b/>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b/>
                <w:sz w:val="14"/>
                <w:szCs w:val="14"/>
              </w:rPr>
            </w:pPr>
            <w:r>
              <w:rPr>
                <w:b/>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b/>
                <w:sz w:val="14"/>
                <w:szCs w:val="14"/>
              </w:rPr>
            </w:pPr>
            <w:r>
              <w:rPr>
                <w:b/>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b/>
                <w:sz w:val="14"/>
                <w:szCs w:val="14"/>
              </w:rPr>
            </w:pPr>
            <w:r>
              <w:rPr>
                <w:b/>
                <w:sz w:val="14"/>
                <w:szCs w:val="14"/>
              </w:rPr>
              <w:t>33.069</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b/>
                <w:sz w:val="14"/>
                <w:szCs w:val="14"/>
              </w:rPr>
            </w:pPr>
            <w:r>
              <w:rPr>
                <w:b/>
                <w:sz w:val="14"/>
                <w:szCs w:val="14"/>
              </w:rPr>
              <w:t>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b/>
                <w:sz w:val="14"/>
                <w:szCs w:val="14"/>
              </w:rPr>
            </w:pPr>
            <w:r>
              <w:rPr>
                <w:b/>
                <w:sz w:val="14"/>
                <w:szCs w:val="14"/>
              </w:rPr>
              <w:t>0</w:t>
            </w:r>
          </w:p>
        </w:tc>
        <w:tc>
          <w:tcPr>
            <w:tcW w:w="709"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b/>
                <w:sz w:val="14"/>
                <w:szCs w:val="14"/>
              </w:rPr>
            </w:pPr>
            <w:r>
              <w:rPr>
                <w:b/>
                <w:sz w:val="14"/>
                <w:szCs w:val="14"/>
              </w:rPr>
              <w:t>33.069</w:t>
            </w:r>
          </w:p>
        </w:tc>
        <w:tc>
          <w:tcPr>
            <w:tcW w:w="708"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b/>
                <w:sz w:val="14"/>
                <w:szCs w:val="14"/>
              </w:rPr>
            </w:pPr>
            <w:r>
              <w:rPr>
                <w:rFonts w:eastAsia="Calibri"/>
                <w:b/>
                <w:sz w:val="14"/>
                <w:szCs w:val="14"/>
              </w:rPr>
              <w:t>100</w:t>
            </w:r>
          </w:p>
        </w:tc>
        <w:tc>
          <w:tcPr>
            <w:tcW w:w="567" w:type="dxa"/>
            <w:tcBorders>
              <w:top w:val="single" w:sz="4" w:space="0" w:color="auto"/>
              <w:left w:val="single" w:sz="4" w:space="0" w:color="auto"/>
              <w:bottom w:val="single" w:sz="4" w:space="0" w:color="auto"/>
              <w:right w:val="single" w:sz="4" w:space="0" w:color="auto"/>
            </w:tcBorders>
          </w:tcPr>
          <w:p>
            <w:pPr>
              <w:pStyle w:val="Randziffer"/>
              <w:numPr>
                <w:ilvl w:val="0"/>
                <w:numId w:val="0"/>
              </w:numPr>
              <w:jc w:val="right"/>
              <w:rPr>
                <w:sz w:val="14"/>
                <w:szCs w:val="14"/>
              </w:rPr>
            </w:pPr>
          </w:p>
        </w:tc>
      </w:tr>
    </w:tbl>
    <w:p>
      <w:pPr>
        <w:pStyle w:val="Randziffer"/>
        <w:numPr>
          <w:ilvl w:val="0"/>
          <w:numId w:val="0"/>
        </w:numPr>
        <w:ind w:left="360"/>
      </w:pPr>
      <w:r>
        <w:t>Alle unter „Sonstige“ zusammengefassten Länder haben keinen antizyklischen Kapitalpuffer festgelegt und besitzen jeweils einen Anteil von kleiner 1 % am maßgeblichen Gesamtrisikopositionswert.</w:t>
      </w:r>
    </w:p>
    <w:p>
      <w:pPr>
        <w:pStyle w:val="Randziffer"/>
      </w:pPr>
      <w:r>
        <w:t xml:space="preserve">Höhe des institutsspezifischen antizyklischen Kapitalpuffers </w:t>
      </w:r>
    </w:p>
    <w:tbl>
      <w:tblPr>
        <w:tblStyle w:val="Tabellenraster1"/>
        <w:tblW w:w="0" w:type="auto"/>
        <w:tblInd w:w="137" w:type="dxa"/>
        <w:tblLook w:val="04A0" w:firstRow="1" w:lastRow="0" w:firstColumn="1" w:lastColumn="0" w:noHBand="0" w:noVBand="1"/>
      </w:tblPr>
      <w:tblGrid>
        <w:gridCol w:w="6752"/>
        <w:gridCol w:w="2150"/>
      </w:tblGrid>
      <w:tr>
        <w:trPr>
          <w:trHeight w:val="288"/>
        </w:trPr>
        <w:tc>
          <w:tcPr>
            <w:tcW w:w="6752" w:type="dxa"/>
            <w:vAlign w:val="center"/>
            <w:hideMark/>
          </w:tcPr>
          <w:p>
            <w:pPr>
              <w:spacing w:before="100" w:beforeAutospacing="1" w:after="100" w:afterAutospacing="1"/>
              <w:jc w:val="left"/>
              <w:rPr>
                <w:rFonts w:cs="Arial"/>
                <w:sz w:val="18"/>
                <w:szCs w:val="18"/>
              </w:rPr>
            </w:pPr>
            <w:r>
              <w:rPr>
                <w:rFonts w:cs="Arial"/>
                <w:sz w:val="18"/>
                <w:szCs w:val="18"/>
              </w:rPr>
              <w:t>Gesamtrisikobetrag (in TEUR)</w:t>
            </w:r>
          </w:p>
        </w:tc>
        <w:tc>
          <w:tcPr>
            <w:tcW w:w="2150" w:type="dxa"/>
            <w:vAlign w:val="center"/>
            <w:hideMark/>
          </w:tcPr>
          <w:p>
            <w:pPr>
              <w:spacing w:before="100" w:beforeAutospacing="1" w:after="100" w:afterAutospacing="1"/>
              <w:ind w:right="255"/>
              <w:jc w:val="right"/>
              <w:rPr>
                <w:rFonts w:cs="Arial"/>
                <w:sz w:val="18"/>
                <w:szCs w:val="18"/>
              </w:rPr>
            </w:pPr>
            <w:r>
              <w:rPr>
                <w:rFonts w:cs="Arial"/>
                <w:sz w:val="18"/>
                <w:szCs w:val="18"/>
              </w:rPr>
              <w:t>451.338</w:t>
            </w:r>
          </w:p>
        </w:tc>
      </w:tr>
      <w:tr>
        <w:trPr>
          <w:trHeight w:val="288"/>
        </w:trPr>
        <w:tc>
          <w:tcPr>
            <w:tcW w:w="6752" w:type="dxa"/>
            <w:vAlign w:val="center"/>
            <w:hideMark/>
          </w:tcPr>
          <w:p>
            <w:pPr>
              <w:spacing w:before="100" w:beforeAutospacing="1" w:after="100" w:afterAutospacing="1"/>
              <w:jc w:val="left"/>
              <w:rPr>
                <w:rFonts w:cs="Arial"/>
                <w:sz w:val="18"/>
                <w:szCs w:val="18"/>
              </w:rPr>
            </w:pPr>
            <w:r>
              <w:rPr>
                <w:rFonts w:cs="Arial"/>
                <w:sz w:val="18"/>
                <w:szCs w:val="18"/>
              </w:rPr>
              <w:t>Institutsspezifische Quote des antizyklischen Kapitalpuffers (in %)</w:t>
            </w:r>
          </w:p>
        </w:tc>
        <w:tc>
          <w:tcPr>
            <w:tcW w:w="2150" w:type="dxa"/>
            <w:vAlign w:val="center"/>
            <w:hideMark/>
          </w:tcPr>
          <w:p>
            <w:pPr>
              <w:spacing w:before="100" w:beforeAutospacing="1" w:after="100" w:afterAutospacing="1"/>
              <w:ind w:right="255"/>
              <w:jc w:val="right"/>
              <w:rPr>
                <w:rFonts w:cs="Arial"/>
                <w:sz w:val="18"/>
                <w:szCs w:val="18"/>
              </w:rPr>
            </w:pPr>
            <w:r>
              <w:rPr>
                <w:rFonts w:cs="Arial"/>
                <w:sz w:val="18"/>
                <w:szCs w:val="18"/>
              </w:rPr>
              <w:t>0,01</w:t>
            </w:r>
          </w:p>
        </w:tc>
      </w:tr>
      <w:tr>
        <w:trPr>
          <w:trHeight w:val="288"/>
        </w:trPr>
        <w:tc>
          <w:tcPr>
            <w:tcW w:w="6752" w:type="dxa"/>
            <w:vAlign w:val="center"/>
            <w:hideMark/>
          </w:tcPr>
          <w:p>
            <w:pPr>
              <w:spacing w:before="100" w:beforeAutospacing="1" w:after="100" w:afterAutospacing="1"/>
              <w:jc w:val="left"/>
              <w:rPr>
                <w:rFonts w:cs="Arial"/>
                <w:sz w:val="18"/>
                <w:szCs w:val="18"/>
              </w:rPr>
            </w:pPr>
            <w:r>
              <w:rPr>
                <w:rFonts w:cs="Arial"/>
                <w:sz w:val="18"/>
                <w:szCs w:val="18"/>
              </w:rPr>
              <w:t>Anforderung an den institutsspezifischen antizyklischen Kapitalpuffer (in TEUR)</w:t>
            </w:r>
          </w:p>
        </w:tc>
        <w:tc>
          <w:tcPr>
            <w:tcW w:w="2150" w:type="dxa"/>
            <w:vAlign w:val="center"/>
            <w:hideMark/>
          </w:tcPr>
          <w:p>
            <w:pPr>
              <w:spacing w:before="100" w:beforeAutospacing="1" w:after="100" w:afterAutospacing="1"/>
              <w:ind w:right="255"/>
              <w:jc w:val="right"/>
              <w:rPr>
                <w:rFonts w:cs="Arial"/>
                <w:sz w:val="18"/>
                <w:szCs w:val="18"/>
              </w:rPr>
            </w:pPr>
            <w:r>
              <w:rPr>
                <w:rFonts w:cs="Arial"/>
                <w:sz w:val="18"/>
                <w:szCs w:val="18"/>
              </w:rPr>
              <w:t>42</w:t>
            </w:r>
          </w:p>
        </w:tc>
      </w:tr>
    </w:tbl>
    <w:p>
      <w:pPr>
        <w:pStyle w:val="berschrift1"/>
      </w:pPr>
      <w:bookmarkStart w:id="11" w:name="_Toc341362628"/>
      <w:bookmarkStart w:id="12" w:name="_Toc436146680"/>
      <w:r>
        <w:lastRenderedPageBreak/>
        <w:t>Marktrisiko</w:t>
      </w:r>
      <w:bookmarkEnd w:id="11"/>
      <w:r>
        <w:t xml:space="preserve"> (Art. 445)</w:t>
      </w:r>
      <w:bookmarkEnd w:id="12"/>
    </w:p>
    <w:p>
      <w:pPr>
        <w:pStyle w:val="Randziffer"/>
      </w:pPr>
      <w:r>
        <w:t>Für die Ermittlung der Eigenmittelanforderungen für Marktrisiken verwenden wir die aufsichtsrechtlich vorgegebenen Standardmethoden.</w:t>
      </w:r>
    </w:p>
    <w:p>
      <w:pPr>
        <w:pStyle w:val="Randziffer"/>
      </w:pPr>
      <w:r>
        <w:t>Für die Risikoart Währung beträgt die Eigenmittelanforderung TEUR 244. Weitere unterlegungspflichtige Marktrisiken bestehen nicht.</w:t>
      </w:r>
      <w:bookmarkStart w:id="13" w:name="_Toc341362629"/>
    </w:p>
    <w:p>
      <w:pPr>
        <w:pStyle w:val="berschrift1"/>
      </w:pPr>
      <w:bookmarkStart w:id="14" w:name="_Toc436146681"/>
      <w:r>
        <w:t>Operationelles Risiko</w:t>
      </w:r>
      <w:bookmarkEnd w:id="13"/>
      <w:r>
        <w:t xml:space="preserve"> (Art. 446)</w:t>
      </w:r>
      <w:bookmarkEnd w:id="14"/>
    </w:p>
    <w:p>
      <w:pPr>
        <w:pStyle w:val="Randziffer"/>
      </w:pPr>
      <w:r>
        <w:t>Die Eigenmittelanforderungen für operationelle Risiken werden nach dem Basisindikatoransatz gemäß Art. 315, 316 CRR ermittelt.</w:t>
      </w:r>
    </w:p>
    <w:p>
      <w:pPr>
        <w:pStyle w:val="berschrift1"/>
        <w:tabs>
          <w:tab w:val="left" w:pos="5292"/>
        </w:tabs>
      </w:pPr>
      <w:bookmarkStart w:id="15" w:name="_Toc341362630"/>
      <w:bookmarkStart w:id="16" w:name="_Toc436146682"/>
      <w:r>
        <w:t xml:space="preserve">Risiko aus nicht im Handelsbuch enthaltenen Beteiligungspositionen </w:t>
      </w:r>
      <w:bookmarkEnd w:id="15"/>
      <w:r>
        <w:t>(Art. 447)</w:t>
      </w:r>
      <w:bookmarkEnd w:id="16"/>
    </w:p>
    <w:p>
      <w:pPr>
        <w:pStyle w:val="Randziffer"/>
      </w:pPr>
      <w:r>
        <w:t>Wir halten im Wesentlichen Beteiligungen an Gesellschaften und Unternehmen, die dem genossenschaftlichen Verbund zugerechnet werden. Die Beteiligungen dienen regelmäßig der Ergänzung des eigenen Produktangebotes sowie der Vertiefung der gegenseitigen Geschäftsbeziehungen.</w:t>
      </w:r>
    </w:p>
    <w:p>
      <w:pPr>
        <w:pStyle w:val="Randziffer"/>
        <w:numPr>
          <w:ilvl w:val="0"/>
          <w:numId w:val="0"/>
        </w:numPr>
        <w:ind w:left="501"/>
      </w:pPr>
      <w:r>
        <w:t>Die Bewertung des Beteiligungsportfolios erfolgt nach handelsrechtlichen Vorgaben. Einen Überblick über die Verbundbeteiligungen gibt folgende Tabelle:</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9"/>
        <w:gridCol w:w="2149"/>
        <w:gridCol w:w="2149"/>
        <w:gridCol w:w="2147"/>
      </w:tblGrid>
      <w:tr>
        <w:tc>
          <w:tcPr>
            <w:tcW w:w="2119" w:type="dxa"/>
            <w:shd w:val="clear" w:color="auto" w:fill="00B0F0"/>
          </w:tcPr>
          <w:p>
            <w:pPr>
              <w:keepNext/>
              <w:keepLines/>
              <w:spacing w:before="60" w:after="60"/>
              <w:jc w:val="left"/>
              <w:rPr>
                <w:b/>
                <w:bCs/>
                <w:color w:val="FFFFFF" w:themeColor="background1"/>
                <w:sz w:val="18"/>
                <w:szCs w:val="18"/>
              </w:rPr>
            </w:pPr>
            <w:r>
              <w:rPr>
                <w:b/>
                <w:bCs/>
                <w:color w:val="FFFFFF" w:themeColor="background1"/>
                <w:sz w:val="18"/>
                <w:szCs w:val="18"/>
              </w:rPr>
              <w:t>Verbund-</w:t>
            </w:r>
            <w:r>
              <w:rPr>
                <w:b/>
                <w:bCs/>
                <w:color w:val="FFFFFF" w:themeColor="background1"/>
                <w:sz w:val="18"/>
                <w:szCs w:val="18"/>
              </w:rPr>
              <w:br/>
            </w:r>
            <w:proofErr w:type="spellStart"/>
            <w:r>
              <w:rPr>
                <w:b/>
                <w:color w:val="FFFFFF" w:themeColor="background1"/>
                <w:sz w:val="18"/>
                <w:szCs w:val="18"/>
              </w:rPr>
              <w:t>beteiligungen</w:t>
            </w:r>
            <w:proofErr w:type="spellEnd"/>
          </w:p>
        </w:tc>
        <w:tc>
          <w:tcPr>
            <w:tcW w:w="2149" w:type="dxa"/>
            <w:shd w:val="clear" w:color="auto" w:fill="00B0F0"/>
          </w:tcPr>
          <w:p>
            <w:pPr>
              <w:keepNext/>
              <w:keepLines/>
              <w:spacing w:before="60" w:after="60"/>
              <w:jc w:val="center"/>
              <w:rPr>
                <w:b/>
                <w:bCs/>
                <w:color w:val="FFFFFF" w:themeColor="background1"/>
                <w:sz w:val="18"/>
              </w:rPr>
            </w:pPr>
            <w:r>
              <w:rPr>
                <w:b/>
                <w:bCs/>
                <w:color w:val="FFFFFF" w:themeColor="background1"/>
                <w:sz w:val="18"/>
              </w:rPr>
              <w:t>Buchwert</w:t>
            </w:r>
            <w:r>
              <w:rPr>
                <w:b/>
                <w:bCs/>
                <w:color w:val="FFFFFF" w:themeColor="background1"/>
                <w:sz w:val="18"/>
              </w:rPr>
              <w:br/>
              <w:t>TEUR</w:t>
            </w:r>
          </w:p>
        </w:tc>
        <w:tc>
          <w:tcPr>
            <w:tcW w:w="2149" w:type="dxa"/>
            <w:shd w:val="clear" w:color="auto" w:fill="00B0F0"/>
          </w:tcPr>
          <w:p>
            <w:pPr>
              <w:keepNext/>
              <w:keepLines/>
              <w:spacing w:before="60" w:after="60"/>
              <w:jc w:val="center"/>
              <w:rPr>
                <w:b/>
                <w:bCs/>
                <w:color w:val="FFFFFF" w:themeColor="background1"/>
                <w:sz w:val="18"/>
              </w:rPr>
            </w:pPr>
            <w:r>
              <w:rPr>
                <w:b/>
                <w:bCs/>
                <w:color w:val="FFFFFF" w:themeColor="background1"/>
                <w:sz w:val="18"/>
              </w:rPr>
              <w:t>beizulegender</w:t>
            </w:r>
            <w:r>
              <w:rPr>
                <w:b/>
                <w:bCs/>
                <w:color w:val="FFFFFF" w:themeColor="background1"/>
                <w:sz w:val="18"/>
              </w:rPr>
              <w:br/>
              <w:t xml:space="preserve">Zeitwert </w:t>
            </w:r>
          </w:p>
          <w:p>
            <w:pPr>
              <w:keepNext/>
              <w:keepLines/>
              <w:spacing w:before="60" w:after="60"/>
              <w:jc w:val="center"/>
              <w:rPr>
                <w:b/>
                <w:bCs/>
                <w:color w:val="FFFFFF" w:themeColor="background1"/>
                <w:sz w:val="18"/>
              </w:rPr>
            </w:pPr>
            <w:r>
              <w:rPr>
                <w:b/>
                <w:bCs/>
                <w:color w:val="FFFFFF" w:themeColor="background1"/>
                <w:sz w:val="18"/>
              </w:rPr>
              <w:t>TEUR</w:t>
            </w:r>
          </w:p>
        </w:tc>
        <w:tc>
          <w:tcPr>
            <w:tcW w:w="2147" w:type="dxa"/>
            <w:shd w:val="clear" w:color="auto" w:fill="00B0F0"/>
          </w:tcPr>
          <w:p>
            <w:pPr>
              <w:keepNext/>
              <w:keepLines/>
              <w:spacing w:before="60" w:after="60"/>
              <w:jc w:val="center"/>
              <w:rPr>
                <w:b/>
                <w:bCs/>
                <w:color w:val="FFFFFF" w:themeColor="background1"/>
                <w:sz w:val="18"/>
              </w:rPr>
            </w:pPr>
            <w:r>
              <w:rPr>
                <w:b/>
                <w:bCs/>
                <w:color w:val="FFFFFF" w:themeColor="background1"/>
                <w:sz w:val="18"/>
              </w:rPr>
              <w:t>Börsenwert</w:t>
            </w:r>
            <w:r>
              <w:rPr>
                <w:b/>
                <w:bCs/>
                <w:color w:val="FFFFFF" w:themeColor="background1"/>
                <w:sz w:val="18"/>
              </w:rPr>
              <w:br/>
              <w:t>TEUR</w:t>
            </w:r>
          </w:p>
        </w:tc>
      </w:tr>
      <w:tr>
        <w:trPr>
          <w:trHeight w:val="401"/>
        </w:trPr>
        <w:tc>
          <w:tcPr>
            <w:tcW w:w="8564" w:type="dxa"/>
            <w:gridSpan w:val="4"/>
            <w:shd w:val="clear" w:color="auto" w:fill="auto"/>
            <w:vAlign w:val="center"/>
          </w:tcPr>
          <w:p>
            <w:pPr>
              <w:spacing w:before="20" w:after="20"/>
              <w:rPr>
                <w:bCs/>
                <w:smallCaps/>
                <w:szCs w:val="22"/>
              </w:rPr>
            </w:pPr>
            <w:r>
              <w:rPr>
                <w:bCs/>
                <w:szCs w:val="22"/>
              </w:rPr>
              <w:t>Strategische</w:t>
            </w:r>
            <w:r>
              <w:rPr>
                <w:bCs/>
                <w:smallCaps/>
                <w:szCs w:val="22"/>
              </w:rPr>
              <w:t xml:space="preserve"> Beteiligungen</w:t>
            </w:r>
          </w:p>
        </w:tc>
      </w:tr>
      <w:tr>
        <w:trPr>
          <w:trHeight w:val="519"/>
        </w:trPr>
        <w:tc>
          <w:tcPr>
            <w:tcW w:w="2119" w:type="dxa"/>
            <w:shd w:val="clear" w:color="auto" w:fill="auto"/>
            <w:vAlign w:val="center"/>
          </w:tcPr>
          <w:p>
            <w:pPr>
              <w:spacing w:before="20" w:after="20"/>
              <w:jc w:val="left"/>
              <w:rPr>
                <w:sz w:val="18"/>
              </w:rPr>
            </w:pPr>
            <w:r>
              <w:rPr>
                <w:sz w:val="18"/>
              </w:rPr>
              <w:t xml:space="preserve">Börsengehandelte        </w:t>
            </w:r>
            <w:r>
              <w:rPr>
                <w:bCs/>
                <w:sz w:val="18"/>
              </w:rPr>
              <w:t>Positionen</w:t>
            </w:r>
          </w:p>
        </w:tc>
        <w:tc>
          <w:tcPr>
            <w:tcW w:w="2149" w:type="dxa"/>
            <w:vAlign w:val="center"/>
          </w:tcPr>
          <w:p>
            <w:pPr>
              <w:spacing w:before="20" w:after="20"/>
              <w:ind w:right="255"/>
              <w:jc w:val="right"/>
              <w:rPr>
                <w:bCs/>
                <w:sz w:val="18"/>
              </w:rPr>
            </w:pPr>
            <w:r>
              <w:rPr>
                <w:rFonts w:cs="Arial"/>
                <w:sz w:val="18"/>
                <w:szCs w:val="18"/>
              </w:rPr>
              <w:t>0</w:t>
            </w:r>
          </w:p>
        </w:tc>
        <w:tc>
          <w:tcPr>
            <w:tcW w:w="2149" w:type="dxa"/>
            <w:vAlign w:val="center"/>
          </w:tcPr>
          <w:p>
            <w:pPr>
              <w:spacing w:before="20" w:after="20"/>
              <w:ind w:right="255"/>
              <w:jc w:val="right"/>
              <w:rPr>
                <w:bCs/>
                <w:sz w:val="18"/>
              </w:rPr>
            </w:pPr>
            <w:r>
              <w:rPr>
                <w:rFonts w:cs="Arial"/>
                <w:sz w:val="18"/>
                <w:szCs w:val="18"/>
              </w:rPr>
              <w:t>0</w:t>
            </w:r>
          </w:p>
        </w:tc>
        <w:tc>
          <w:tcPr>
            <w:tcW w:w="2147" w:type="dxa"/>
            <w:vAlign w:val="center"/>
          </w:tcPr>
          <w:p>
            <w:pPr>
              <w:spacing w:before="20" w:after="20"/>
              <w:ind w:right="255"/>
              <w:jc w:val="right"/>
              <w:rPr>
                <w:bCs/>
                <w:sz w:val="18"/>
              </w:rPr>
            </w:pPr>
            <w:r>
              <w:rPr>
                <w:rFonts w:cs="Arial"/>
                <w:sz w:val="18"/>
                <w:szCs w:val="18"/>
              </w:rPr>
              <w:t>0</w:t>
            </w:r>
          </w:p>
        </w:tc>
      </w:tr>
      <w:tr>
        <w:trPr>
          <w:trHeight w:val="554"/>
        </w:trPr>
        <w:tc>
          <w:tcPr>
            <w:tcW w:w="2119" w:type="dxa"/>
            <w:vAlign w:val="center"/>
          </w:tcPr>
          <w:p>
            <w:pPr>
              <w:spacing w:before="20" w:after="20"/>
              <w:jc w:val="left"/>
              <w:rPr>
                <w:sz w:val="18"/>
              </w:rPr>
            </w:pPr>
            <w:r>
              <w:rPr>
                <w:sz w:val="18"/>
              </w:rPr>
              <w:t>Nicht börsengehandelte</w:t>
            </w:r>
            <w:r>
              <w:rPr>
                <w:sz w:val="18"/>
              </w:rPr>
              <w:br/>
              <w:t>Positionen</w:t>
            </w:r>
          </w:p>
        </w:tc>
        <w:tc>
          <w:tcPr>
            <w:tcW w:w="2149" w:type="dxa"/>
            <w:vAlign w:val="center"/>
          </w:tcPr>
          <w:p>
            <w:pPr>
              <w:spacing w:before="20" w:after="20"/>
              <w:ind w:right="255"/>
              <w:jc w:val="right"/>
              <w:rPr>
                <w:bCs/>
                <w:sz w:val="18"/>
              </w:rPr>
            </w:pPr>
            <w:r>
              <w:rPr>
                <w:rFonts w:cs="Arial"/>
                <w:sz w:val="18"/>
                <w:szCs w:val="18"/>
              </w:rPr>
              <w:t>0</w:t>
            </w:r>
          </w:p>
        </w:tc>
        <w:tc>
          <w:tcPr>
            <w:tcW w:w="2149" w:type="dxa"/>
            <w:vAlign w:val="center"/>
          </w:tcPr>
          <w:p>
            <w:pPr>
              <w:spacing w:before="20" w:after="20"/>
              <w:ind w:right="255"/>
              <w:jc w:val="right"/>
              <w:rPr>
                <w:sz w:val="18"/>
              </w:rPr>
            </w:pPr>
            <w:r>
              <w:rPr>
                <w:rFonts w:cs="Arial"/>
                <w:sz w:val="18"/>
                <w:szCs w:val="18"/>
              </w:rPr>
              <w:t>0</w:t>
            </w:r>
          </w:p>
        </w:tc>
        <w:tc>
          <w:tcPr>
            <w:tcW w:w="2147" w:type="dxa"/>
            <w:shd w:val="clear" w:color="auto" w:fill="D9D9D9" w:themeFill="background1" w:themeFillShade="D9"/>
            <w:vAlign w:val="center"/>
          </w:tcPr>
          <w:p>
            <w:pPr>
              <w:spacing w:before="20" w:after="20"/>
              <w:ind w:right="255"/>
              <w:jc w:val="right"/>
              <w:rPr>
                <w:sz w:val="18"/>
              </w:rPr>
            </w:pPr>
          </w:p>
        </w:tc>
      </w:tr>
      <w:tr>
        <w:trPr>
          <w:trHeight w:val="549"/>
        </w:trPr>
        <w:tc>
          <w:tcPr>
            <w:tcW w:w="2119" w:type="dxa"/>
            <w:shd w:val="clear" w:color="auto" w:fill="auto"/>
            <w:vAlign w:val="center"/>
          </w:tcPr>
          <w:p>
            <w:pPr>
              <w:spacing w:before="20" w:after="20"/>
              <w:jc w:val="left"/>
              <w:rPr>
                <w:sz w:val="18"/>
              </w:rPr>
            </w:pPr>
            <w:r>
              <w:rPr>
                <w:sz w:val="18"/>
              </w:rPr>
              <w:t>Andere</w:t>
            </w:r>
            <w:r>
              <w:rPr>
                <w:sz w:val="18"/>
              </w:rPr>
              <w:br/>
              <w:t>Beteiligungspositionen</w:t>
            </w:r>
          </w:p>
        </w:tc>
        <w:tc>
          <w:tcPr>
            <w:tcW w:w="2149" w:type="dxa"/>
            <w:shd w:val="clear" w:color="auto" w:fill="auto"/>
            <w:vAlign w:val="center"/>
          </w:tcPr>
          <w:p>
            <w:pPr>
              <w:spacing w:before="20" w:after="20"/>
              <w:ind w:right="255"/>
              <w:jc w:val="right"/>
              <w:rPr>
                <w:bCs/>
                <w:sz w:val="18"/>
              </w:rPr>
            </w:pPr>
            <w:r>
              <w:rPr>
                <w:bCs/>
                <w:sz w:val="18"/>
              </w:rPr>
              <w:t>18.337</w:t>
            </w:r>
          </w:p>
        </w:tc>
        <w:tc>
          <w:tcPr>
            <w:tcW w:w="2149" w:type="dxa"/>
            <w:vAlign w:val="center"/>
          </w:tcPr>
          <w:p>
            <w:pPr>
              <w:spacing w:before="20" w:after="20"/>
              <w:ind w:right="255"/>
              <w:jc w:val="right"/>
              <w:rPr>
                <w:bCs/>
                <w:sz w:val="18"/>
              </w:rPr>
            </w:pPr>
            <w:r>
              <w:rPr>
                <w:bCs/>
                <w:sz w:val="18"/>
              </w:rPr>
              <w:t>18.337</w:t>
            </w:r>
          </w:p>
        </w:tc>
        <w:tc>
          <w:tcPr>
            <w:tcW w:w="2147" w:type="dxa"/>
            <w:vAlign w:val="center"/>
          </w:tcPr>
          <w:p>
            <w:pPr>
              <w:spacing w:before="20" w:after="20"/>
              <w:ind w:right="255"/>
              <w:jc w:val="right"/>
              <w:rPr>
                <w:bCs/>
                <w:sz w:val="18"/>
              </w:rPr>
            </w:pPr>
            <w:r>
              <w:rPr>
                <w:rFonts w:cs="Arial"/>
                <w:sz w:val="18"/>
                <w:szCs w:val="18"/>
              </w:rPr>
              <w:t>0</w:t>
            </w:r>
          </w:p>
        </w:tc>
      </w:tr>
    </w:tbl>
    <w:p>
      <w:pPr>
        <w:pStyle w:val="Randziffer"/>
        <w:numPr>
          <w:ilvl w:val="0"/>
          <w:numId w:val="0"/>
        </w:numPr>
        <w:ind w:left="360"/>
      </w:pPr>
    </w:p>
    <w:p>
      <w:pPr>
        <w:pStyle w:val="Randziffer"/>
      </w:pPr>
      <w:r>
        <w:rPr>
          <w:bCs/>
        </w:rPr>
        <w:t>Die nicht dem genossenschaftlichen Verbund zuzurechnende Beteiligung dient ausschließlich der Förderung der heimischen Wirtschaft und hat einen Buchwert von eintausend EUR. Die Beteiligung wurde mit den Anschaffungskosten bewertet. Von den Bilanzierungs- und Bewertungsmethoden des Vorjahres wurde nicht abgewichen.</w:t>
      </w:r>
      <w:r>
        <w:t xml:space="preserve"> </w:t>
      </w:r>
    </w:p>
    <w:p>
      <w:pPr>
        <w:spacing w:before="0" w:after="0"/>
        <w:jc w:val="left"/>
        <w:rPr>
          <w:rFonts w:cs="Arial"/>
        </w:rPr>
      </w:pPr>
      <w:r>
        <w:br w:type="page"/>
      </w:r>
    </w:p>
    <w:p>
      <w:pPr>
        <w:pStyle w:val="berschrift1"/>
      </w:pPr>
      <w:bookmarkStart w:id="17" w:name="_Toc341362631"/>
      <w:bookmarkStart w:id="18" w:name="_Toc436146683"/>
      <w:bookmarkStart w:id="19" w:name="_Hlk517776151"/>
      <w:r>
        <w:lastRenderedPageBreak/>
        <w:t xml:space="preserve">Zinsrisiko aus nicht im Handelsbuch enthaltenen Positionen </w:t>
      </w:r>
      <w:bookmarkEnd w:id="17"/>
      <w:r>
        <w:t>(Art. 448)</w:t>
      </w:r>
      <w:bookmarkEnd w:id="18"/>
    </w:p>
    <w:p>
      <w:pPr>
        <w:pStyle w:val="Randziffer"/>
      </w:pPr>
      <w:r>
        <w:t xml:space="preserve">Das von der Bank eingegangene Zinsänderungsrisiko als Teil des Marktpreisrisikos resultiert aus der Fristentransformation. Risiken für die Bank entstehen hierbei insbesondere bei einem Anstieg der Zinsstrukturkurve. Entsprechende Sicherungsgeschäfte zur Absicherung des Risikos werden getätigt. Die gemessenen Risiken werden in einem </w:t>
      </w:r>
      <w:proofErr w:type="spellStart"/>
      <w:r>
        <w:t>Limitsystem</w:t>
      </w:r>
      <w:proofErr w:type="spellEnd"/>
      <w:r>
        <w:t xml:space="preserve"> dem entsprechenden Gesamtbank-Risikolimit gegenübergestellt.</w:t>
      </w:r>
    </w:p>
    <w:p>
      <w:pPr>
        <w:pStyle w:val="Randziffer"/>
      </w:pPr>
      <w:r>
        <w:t>Für die Ermittlung des barwertigen Zinsänderungsrisikos werden die von der Bankenaufsicht vorgegebenen Zinsschocks von + 200 Basispunkten bzw. - 200 Basispunkten verwendet. Aufgrund der Art des von uns eingegangenen Zinsänderungsrisikos sind Verluste jedoch nur bei steigenden Zinssätzen zu erwarten.</w:t>
      </w:r>
    </w:p>
    <w:p>
      <w:pPr>
        <w:tabs>
          <w:tab w:val="left" w:pos="7245"/>
        </w:tabs>
        <w:ind w:left="360"/>
        <w:rPr>
          <w:sz w:val="12"/>
          <w:szCs w:val="12"/>
        </w:rPr>
      </w:pPr>
    </w:p>
    <w:tbl>
      <w:tblPr>
        <w:tblW w:w="0" w:type="auto"/>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087"/>
        <w:gridCol w:w="2599"/>
        <w:gridCol w:w="2453"/>
      </w:tblGrid>
      <w:tr>
        <w:trPr>
          <w:trHeight w:val="265"/>
        </w:trPr>
        <w:tc>
          <w:tcPr>
            <w:tcW w:w="2087" w:type="dxa"/>
            <w:vMerge w:val="restart"/>
            <w:vAlign w:val="center"/>
          </w:tcPr>
          <w:p>
            <w:pPr>
              <w:spacing w:before="20" w:after="20"/>
              <w:rPr>
                <w:sz w:val="18"/>
              </w:rPr>
            </w:pPr>
          </w:p>
        </w:tc>
        <w:tc>
          <w:tcPr>
            <w:tcW w:w="5052" w:type="dxa"/>
            <w:gridSpan w:val="2"/>
            <w:shd w:val="clear" w:color="auto" w:fill="00B0F0"/>
            <w:vAlign w:val="center"/>
          </w:tcPr>
          <w:p>
            <w:pPr>
              <w:tabs>
                <w:tab w:val="left" w:pos="1020"/>
                <w:tab w:val="center" w:pos="1910"/>
              </w:tabs>
              <w:spacing w:before="20" w:after="20"/>
              <w:jc w:val="center"/>
              <w:rPr>
                <w:b/>
                <w:bCs/>
                <w:sz w:val="18"/>
              </w:rPr>
            </w:pPr>
            <w:r>
              <w:rPr>
                <w:b/>
                <w:bCs/>
                <w:color w:val="FFFFFF" w:themeColor="background1"/>
                <w:sz w:val="18"/>
              </w:rPr>
              <w:t>Zinsänderungsrisiko</w:t>
            </w:r>
          </w:p>
        </w:tc>
      </w:tr>
      <w:tr>
        <w:trPr>
          <w:trHeight w:val="537"/>
        </w:trPr>
        <w:tc>
          <w:tcPr>
            <w:tcW w:w="2087" w:type="dxa"/>
            <w:vMerge/>
            <w:vAlign w:val="center"/>
          </w:tcPr>
          <w:p>
            <w:pPr>
              <w:spacing w:before="20" w:after="20"/>
              <w:rPr>
                <w:sz w:val="18"/>
              </w:rPr>
            </w:pPr>
          </w:p>
        </w:tc>
        <w:tc>
          <w:tcPr>
            <w:tcW w:w="2599" w:type="dxa"/>
            <w:shd w:val="clear" w:color="auto" w:fill="D9D9D9" w:themeFill="background1" w:themeFillShade="D9"/>
            <w:vAlign w:val="center"/>
          </w:tcPr>
          <w:p>
            <w:pPr>
              <w:spacing w:before="20" w:after="20"/>
              <w:jc w:val="center"/>
              <w:rPr>
                <w:b/>
                <w:bCs/>
                <w:sz w:val="18"/>
              </w:rPr>
            </w:pPr>
            <w:r>
              <w:rPr>
                <w:b/>
                <w:bCs/>
                <w:sz w:val="18"/>
              </w:rPr>
              <w:t>Rückgang des</w:t>
            </w:r>
            <w:r>
              <w:rPr>
                <w:b/>
                <w:bCs/>
                <w:sz w:val="18"/>
              </w:rPr>
              <w:br/>
              <w:t>Zinsbuchbarwerts TEUR</w:t>
            </w:r>
          </w:p>
        </w:tc>
        <w:tc>
          <w:tcPr>
            <w:tcW w:w="2453" w:type="dxa"/>
            <w:shd w:val="clear" w:color="auto" w:fill="D9D9D9" w:themeFill="background1" w:themeFillShade="D9"/>
            <w:vAlign w:val="center"/>
          </w:tcPr>
          <w:p>
            <w:pPr>
              <w:spacing w:before="20" w:after="20"/>
              <w:jc w:val="center"/>
              <w:rPr>
                <w:b/>
                <w:bCs/>
                <w:sz w:val="18"/>
              </w:rPr>
            </w:pPr>
            <w:r>
              <w:rPr>
                <w:b/>
                <w:bCs/>
                <w:sz w:val="18"/>
              </w:rPr>
              <w:t>Erhöhung des</w:t>
            </w:r>
            <w:r>
              <w:rPr>
                <w:b/>
                <w:bCs/>
                <w:sz w:val="18"/>
              </w:rPr>
              <w:br/>
              <w:t>Zinsbuchbarwerts TEUR</w:t>
            </w:r>
          </w:p>
        </w:tc>
      </w:tr>
      <w:tr>
        <w:trPr>
          <w:trHeight w:val="470"/>
        </w:trPr>
        <w:tc>
          <w:tcPr>
            <w:tcW w:w="2087" w:type="dxa"/>
            <w:vAlign w:val="center"/>
          </w:tcPr>
          <w:p>
            <w:pPr>
              <w:spacing w:before="20" w:after="20"/>
              <w:rPr>
                <w:b/>
                <w:bCs/>
                <w:sz w:val="18"/>
              </w:rPr>
            </w:pPr>
            <w:r>
              <w:rPr>
                <w:b/>
                <w:bCs/>
                <w:sz w:val="18"/>
              </w:rPr>
              <w:t>Summe</w:t>
            </w:r>
          </w:p>
        </w:tc>
        <w:tc>
          <w:tcPr>
            <w:tcW w:w="2599" w:type="dxa"/>
            <w:shd w:val="clear" w:color="auto" w:fill="auto"/>
            <w:vAlign w:val="center"/>
          </w:tcPr>
          <w:p>
            <w:pPr>
              <w:spacing w:before="20" w:after="20"/>
              <w:ind w:right="255"/>
              <w:jc w:val="right"/>
              <w:rPr>
                <w:sz w:val="18"/>
              </w:rPr>
            </w:pPr>
            <w:r>
              <w:rPr>
                <w:sz w:val="18"/>
              </w:rPr>
              <w:t>8.532</w:t>
            </w:r>
          </w:p>
        </w:tc>
        <w:tc>
          <w:tcPr>
            <w:tcW w:w="2453" w:type="dxa"/>
            <w:shd w:val="clear" w:color="auto" w:fill="auto"/>
            <w:vAlign w:val="center"/>
          </w:tcPr>
          <w:p>
            <w:pPr>
              <w:spacing w:before="20" w:after="20"/>
              <w:ind w:right="255"/>
              <w:jc w:val="right"/>
              <w:rPr>
                <w:sz w:val="18"/>
              </w:rPr>
            </w:pPr>
            <w:r>
              <w:rPr>
                <w:sz w:val="18"/>
              </w:rPr>
              <w:t>1.008</w:t>
            </w:r>
          </w:p>
        </w:tc>
      </w:tr>
    </w:tbl>
    <w:p>
      <w:pPr>
        <w:pStyle w:val="Randziffer"/>
        <w:spacing w:after="40"/>
      </w:pPr>
      <w:r>
        <w:t xml:space="preserve">Das Zinsänderungsrisiko wird in unserem Hause auch mit Hilfe der </w:t>
      </w:r>
      <w:proofErr w:type="spellStart"/>
      <w:r>
        <w:t>Zinselastizitätenbilanz</w:t>
      </w:r>
      <w:proofErr w:type="spellEnd"/>
      <w:r>
        <w:t xml:space="preserve"> gemessen und gesteuert. Dabei legen wir folgende wesentliche Schlüsselannahmen zu Grunde:</w:t>
      </w:r>
    </w:p>
    <w:p>
      <w:pPr>
        <w:numPr>
          <w:ilvl w:val="0"/>
          <w:numId w:val="9"/>
        </w:numPr>
        <w:spacing w:before="40" w:after="40"/>
      </w:pPr>
      <w:r>
        <w:t>Die Zinselastizitäten für die Aktiv- und Passivpositionen werden gemäß den institutsinternen Ermittlungen, die auf den Erfahrungen der Vergangenheit basieren, berücksichtigt.</w:t>
      </w:r>
    </w:p>
    <w:p>
      <w:pPr>
        <w:numPr>
          <w:ilvl w:val="0"/>
          <w:numId w:val="9"/>
        </w:numPr>
        <w:spacing w:before="40" w:after="40"/>
      </w:pPr>
      <w:r>
        <w:t>Neugeschäftskonditionen werden auf Basis der am Markt erzielbaren Margen angesetzt.</w:t>
      </w:r>
    </w:p>
    <w:p>
      <w:pPr>
        <w:numPr>
          <w:ilvl w:val="0"/>
          <w:numId w:val="9"/>
        </w:numPr>
        <w:spacing w:before="40" w:after="40"/>
      </w:pPr>
      <w:r>
        <w:t>Bei der Planung der Geschäftsstruktur gehen wir aufgrund unserer moderaten Wachstumserwartung im Kundengeschäft von einem nur geringen Anstieg der Bilanzsumme aus.</w:t>
      </w:r>
    </w:p>
    <w:p>
      <w:pPr>
        <w:pStyle w:val="Textkrper"/>
        <w:tabs>
          <w:tab w:val="left" w:pos="709"/>
        </w:tabs>
        <w:ind w:left="426"/>
      </w:pPr>
      <w:r>
        <w:t xml:space="preserve">Zur Ermittlung der Auswirkungen von Zinsänderungen verwenden wir folgende Zinsszenarien: </w:t>
      </w:r>
    </w:p>
    <w:p>
      <w:pPr>
        <w:numPr>
          <w:ilvl w:val="0"/>
          <w:numId w:val="9"/>
        </w:numPr>
        <w:spacing w:before="40" w:after="40"/>
      </w:pPr>
      <w:r>
        <w:t>Szenario 1: Zinsanstieg um 50 Basispunkte</w:t>
      </w:r>
    </w:p>
    <w:p>
      <w:pPr>
        <w:numPr>
          <w:ilvl w:val="0"/>
          <w:numId w:val="9"/>
        </w:numPr>
        <w:spacing w:before="40" w:after="40"/>
      </w:pPr>
      <w:r>
        <w:t>Szenario 2: Zinsrückgang um 50 Basispunkte</w:t>
      </w:r>
    </w:p>
    <w:p>
      <w:pPr>
        <w:numPr>
          <w:ilvl w:val="0"/>
          <w:numId w:val="9"/>
        </w:numPr>
        <w:spacing w:before="40" w:after="40"/>
      </w:pPr>
      <w:r>
        <w:t>Szenario 3: Zinsanstieg nach dem „VR-Zinsszenario steigend“</w:t>
      </w:r>
    </w:p>
    <w:p>
      <w:pPr>
        <w:spacing w:before="40" w:after="40"/>
        <w:ind w:left="720"/>
      </w:pPr>
    </w:p>
    <w:tbl>
      <w:tblPr>
        <w:tblW w:w="0" w:type="auto"/>
        <w:tblInd w:w="4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84"/>
        <w:gridCol w:w="2552"/>
        <w:gridCol w:w="2409"/>
      </w:tblGrid>
      <w:tr>
        <w:trPr>
          <w:cantSplit/>
        </w:trPr>
        <w:tc>
          <w:tcPr>
            <w:tcW w:w="1984" w:type="dxa"/>
            <w:vMerge w:val="restart"/>
          </w:tcPr>
          <w:p>
            <w:pPr>
              <w:keepNext/>
              <w:keepLines/>
              <w:spacing w:before="20" w:after="20"/>
              <w:rPr>
                <w:sz w:val="18"/>
              </w:rPr>
            </w:pPr>
          </w:p>
        </w:tc>
        <w:tc>
          <w:tcPr>
            <w:tcW w:w="4961" w:type="dxa"/>
            <w:gridSpan w:val="2"/>
            <w:shd w:val="clear" w:color="auto" w:fill="00B0F0"/>
          </w:tcPr>
          <w:p>
            <w:pPr>
              <w:keepNext/>
              <w:keepLines/>
              <w:spacing w:before="20" w:after="20"/>
              <w:jc w:val="center"/>
              <w:rPr>
                <w:b/>
                <w:bCs/>
                <w:sz w:val="18"/>
              </w:rPr>
            </w:pPr>
            <w:r>
              <w:rPr>
                <w:b/>
                <w:bCs/>
                <w:color w:val="FFFFFF" w:themeColor="background1"/>
                <w:sz w:val="18"/>
              </w:rPr>
              <w:t>Zinsänderungsrisiko</w:t>
            </w:r>
          </w:p>
        </w:tc>
      </w:tr>
      <w:tr>
        <w:trPr>
          <w:cantSplit/>
        </w:trPr>
        <w:tc>
          <w:tcPr>
            <w:tcW w:w="1984" w:type="dxa"/>
            <w:vMerge/>
          </w:tcPr>
          <w:p>
            <w:pPr>
              <w:keepNext/>
              <w:keepLines/>
              <w:spacing w:before="20" w:after="20"/>
              <w:rPr>
                <w:sz w:val="18"/>
              </w:rPr>
            </w:pPr>
          </w:p>
        </w:tc>
        <w:tc>
          <w:tcPr>
            <w:tcW w:w="2552" w:type="dxa"/>
            <w:shd w:val="clear" w:color="auto" w:fill="D9D9D9" w:themeFill="background1" w:themeFillShade="D9"/>
          </w:tcPr>
          <w:p>
            <w:pPr>
              <w:keepNext/>
              <w:keepLines/>
              <w:spacing w:before="20" w:after="20"/>
              <w:jc w:val="center"/>
              <w:rPr>
                <w:b/>
                <w:bCs/>
                <w:sz w:val="18"/>
              </w:rPr>
            </w:pPr>
            <w:r>
              <w:rPr>
                <w:b/>
                <w:bCs/>
                <w:sz w:val="18"/>
              </w:rPr>
              <w:t>Rückgang der</w:t>
            </w:r>
            <w:r>
              <w:rPr>
                <w:b/>
                <w:bCs/>
                <w:sz w:val="18"/>
              </w:rPr>
              <w:br/>
              <w:t xml:space="preserve">Erträge </w:t>
            </w:r>
          </w:p>
          <w:p>
            <w:pPr>
              <w:keepNext/>
              <w:keepLines/>
              <w:spacing w:before="20" w:after="20"/>
              <w:jc w:val="center"/>
              <w:rPr>
                <w:b/>
                <w:bCs/>
                <w:sz w:val="18"/>
              </w:rPr>
            </w:pPr>
            <w:r>
              <w:rPr>
                <w:b/>
                <w:bCs/>
                <w:sz w:val="18"/>
              </w:rPr>
              <w:t>TEUR</w:t>
            </w:r>
          </w:p>
        </w:tc>
        <w:tc>
          <w:tcPr>
            <w:tcW w:w="2409" w:type="dxa"/>
            <w:shd w:val="clear" w:color="auto" w:fill="D9D9D9" w:themeFill="background1" w:themeFillShade="D9"/>
          </w:tcPr>
          <w:p>
            <w:pPr>
              <w:keepNext/>
              <w:keepLines/>
              <w:spacing w:before="20" w:after="20"/>
              <w:jc w:val="center"/>
              <w:rPr>
                <w:b/>
                <w:bCs/>
                <w:sz w:val="18"/>
              </w:rPr>
            </w:pPr>
            <w:r>
              <w:rPr>
                <w:b/>
                <w:bCs/>
                <w:sz w:val="18"/>
              </w:rPr>
              <w:t>Erhöhung der</w:t>
            </w:r>
            <w:r>
              <w:rPr>
                <w:b/>
                <w:bCs/>
                <w:sz w:val="18"/>
              </w:rPr>
              <w:br/>
              <w:t xml:space="preserve">Erträge </w:t>
            </w:r>
          </w:p>
          <w:p>
            <w:pPr>
              <w:keepNext/>
              <w:keepLines/>
              <w:spacing w:before="20" w:after="20"/>
              <w:jc w:val="center"/>
              <w:rPr>
                <w:b/>
                <w:bCs/>
                <w:sz w:val="18"/>
              </w:rPr>
            </w:pPr>
            <w:r>
              <w:rPr>
                <w:b/>
                <w:bCs/>
                <w:sz w:val="18"/>
              </w:rPr>
              <w:t>TEUR</w:t>
            </w:r>
          </w:p>
        </w:tc>
      </w:tr>
      <w:tr>
        <w:trPr>
          <w:trHeight w:val="323"/>
        </w:trPr>
        <w:tc>
          <w:tcPr>
            <w:tcW w:w="1984" w:type="dxa"/>
            <w:vAlign w:val="center"/>
          </w:tcPr>
          <w:p>
            <w:pPr>
              <w:keepNext/>
              <w:keepLines/>
              <w:spacing w:before="20" w:after="20"/>
              <w:rPr>
                <w:b/>
                <w:bCs/>
                <w:sz w:val="18"/>
              </w:rPr>
            </w:pPr>
            <w:r>
              <w:rPr>
                <w:b/>
                <w:bCs/>
                <w:sz w:val="18"/>
              </w:rPr>
              <w:t>Szenario 1</w:t>
            </w:r>
          </w:p>
        </w:tc>
        <w:tc>
          <w:tcPr>
            <w:tcW w:w="2552" w:type="dxa"/>
            <w:shd w:val="clear" w:color="auto" w:fill="auto"/>
            <w:vAlign w:val="center"/>
          </w:tcPr>
          <w:p>
            <w:pPr>
              <w:keepNext/>
              <w:keepLines/>
              <w:spacing w:before="20" w:after="20"/>
              <w:ind w:right="255"/>
              <w:jc w:val="right"/>
              <w:rPr>
                <w:sz w:val="18"/>
              </w:rPr>
            </w:pPr>
            <w:r>
              <w:rPr>
                <w:sz w:val="18"/>
              </w:rPr>
              <w:t>462</w:t>
            </w:r>
          </w:p>
        </w:tc>
        <w:tc>
          <w:tcPr>
            <w:tcW w:w="2409" w:type="dxa"/>
            <w:shd w:val="clear" w:color="auto" w:fill="auto"/>
            <w:vAlign w:val="center"/>
          </w:tcPr>
          <w:p>
            <w:pPr>
              <w:keepNext/>
              <w:keepLines/>
              <w:spacing w:before="20" w:after="20"/>
              <w:ind w:right="255"/>
              <w:jc w:val="center"/>
              <w:rPr>
                <w:sz w:val="18"/>
              </w:rPr>
            </w:pPr>
          </w:p>
        </w:tc>
      </w:tr>
      <w:tr>
        <w:trPr>
          <w:trHeight w:val="399"/>
        </w:trPr>
        <w:tc>
          <w:tcPr>
            <w:tcW w:w="1984" w:type="dxa"/>
            <w:vAlign w:val="center"/>
          </w:tcPr>
          <w:p>
            <w:pPr>
              <w:keepNext/>
              <w:keepLines/>
              <w:spacing w:before="20" w:after="20"/>
              <w:rPr>
                <w:b/>
                <w:bCs/>
                <w:sz w:val="18"/>
              </w:rPr>
            </w:pPr>
            <w:r>
              <w:rPr>
                <w:b/>
                <w:bCs/>
                <w:sz w:val="18"/>
              </w:rPr>
              <w:t>Szenario 2</w:t>
            </w:r>
          </w:p>
        </w:tc>
        <w:tc>
          <w:tcPr>
            <w:tcW w:w="2552" w:type="dxa"/>
            <w:shd w:val="clear" w:color="auto" w:fill="auto"/>
            <w:vAlign w:val="center"/>
          </w:tcPr>
          <w:p>
            <w:pPr>
              <w:keepNext/>
              <w:keepLines/>
              <w:spacing w:before="20" w:after="20"/>
              <w:ind w:right="255"/>
              <w:jc w:val="right"/>
              <w:rPr>
                <w:sz w:val="18"/>
              </w:rPr>
            </w:pPr>
            <w:r>
              <w:rPr>
                <w:sz w:val="18"/>
              </w:rPr>
              <w:t>349</w:t>
            </w:r>
          </w:p>
        </w:tc>
        <w:tc>
          <w:tcPr>
            <w:tcW w:w="2409" w:type="dxa"/>
            <w:shd w:val="clear" w:color="auto" w:fill="auto"/>
            <w:vAlign w:val="center"/>
          </w:tcPr>
          <w:p>
            <w:pPr>
              <w:keepNext/>
              <w:keepLines/>
              <w:spacing w:before="20" w:after="20"/>
              <w:ind w:right="255"/>
              <w:jc w:val="center"/>
              <w:rPr>
                <w:sz w:val="18"/>
              </w:rPr>
            </w:pPr>
          </w:p>
        </w:tc>
      </w:tr>
      <w:tr>
        <w:trPr>
          <w:trHeight w:val="390"/>
        </w:trPr>
        <w:tc>
          <w:tcPr>
            <w:tcW w:w="1984" w:type="dxa"/>
            <w:vAlign w:val="center"/>
          </w:tcPr>
          <w:p>
            <w:pPr>
              <w:keepNext/>
              <w:keepLines/>
              <w:spacing w:before="20" w:after="20"/>
              <w:rPr>
                <w:b/>
                <w:bCs/>
                <w:sz w:val="18"/>
              </w:rPr>
            </w:pPr>
            <w:r>
              <w:rPr>
                <w:b/>
                <w:bCs/>
                <w:sz w:val="18"/>
              </w:rPr>
              <w:t>Szenario 3</w:t>
            </w:r>
          </w:p>
        </w:tc>
        <w:tc>
          <w:tcPr>
            <w:tcW w:w="2552" w:type="dxa"/>
            <w:shd w:val="clear" w:color="auto" w:fill="auto"/>
            <w:vAlign w:val="center"/>
          </w:tcPr>
          <w:p>
            <w:pPr>
              <w:keepNext/>
              <w:keepLines/>
              <w:spacing w:before="20" w:after="20"/>
              <w:ind w:right="255"/>
              <w:jc w:val="right"/>
              <w:rPr>
                <w:sz w:val="18"/>
              </w:rPr>
            </w:pPr>
            <w:r>
              <w:rPr>
                <w:sz w:val="18"/>
              </w:rPr>
              <w:t>2.252</w:t>
            </w:r>
          </w:p>
        </w:tc>
        <w:tc>
          <w:tcPr>
            <w:tcW w:w="2409" w:type="dxa"/>
            <w:shd w:val="clear" w:color="auto" w:fill="auto"/>
            <w:vAlign w:val="center"/>
          </w:tcPr>
          <w:p>
            <w:pPr>
              <w:keepNext/>
              <w:keepLines/>
              <w:spacing w:before="20" w:after="20"/>
              <w:ind w:right="255"/>
              <w:jc w:val="right"/>
              <w:rPr>
                <w:sz w:val="18"/>
              </w:rPr>
            </w:pPr>
          </w:p>
        </w:tc>
      </w:tr>
    </w:tbl>
    <w:p>
      <w:pPr>
        <w:pStyle w:val="Kopfzeile"/>
        <w:tabs>
          <w:tab w:val="clear" w:pos="4536"/>
          <w:tab w:val="clear" w:pos="9072"/>
        </w:tabs>
      </w:pPr>
    </w:p>
    <w:p>
      <w:pPr>
        <w:pStyle w:val="Randziffer"/>
        <w:spacing w:after="40"/>
      </w:pPr>
      <w:r>
        <w:t>Das Zinsänderungsrisiko wird von unserem Haus vierteljährlich gemessen. Hierbei wird eine periodische Bewertung des Risikos vorgenommen.</w:t>
      </w:r>
    </w:p>
    <w:p>
      <w:pPr>
        <w:pStyle w:val="berschrift1"/>
        <w:keepLines/>
      </w:pPr>
      <w:bookmarkStart w:id="20" w:name="_Toc341362632"/>
      <w:bookmarkStart w:id="21" w:name="_Toc436146684"/>
      <w:bookmarkEnd w:id="19"/>
      <w:r>
        <w:lastRenderedPageBreak/>
        <w:t>Risiko aus Verbriefungstransaktionen</w:t>
      </w:r>
      <w:bookmarkEnd w:id="20"/>
      <w:r>
        <w:t xml:space="preserve"> (Art. 449)</w:t>
      </w:r>
      <w:bookmarkEnd w:id="21"/>
    </w:p>
    <w:p>
      <w:pPr>
        <w:pStyle w:val="Randziffer"/>
        <w:spacing w:after="40"/>
      </w:pPr>
      <w:r>
        <w:t>Hierunter fassen wir alle Verbriefungstransaktionen, die unter den Anwendungsbereich der Verbriefungsregelungen gemäß Art. 242 ff fallen. Verbriefungstransaktionen liegen bei und nicht vor.</w:t>
      </w:r>
    </w:p>
    <w:p>
      <w:pPr>
        <w:pStyle w:val="berschrift1"/>
      </w:pPr>
      <w:bookmarkStart w:id="22" w:name="_Toc341362633"/>
      <w:bookmarkStart w:id="23" w:name="_Toc436146685"/>
      <w:r>
        <w:t>Verwendung von Kreditrisikominderungstechnike</w:t>
      </w:r>
      <w:bookmarkEnd w:id="22"/>
      <w:r>
        <w:t>n (Art. 453)</w:t>
      </w:r>
      <w:bookmarkEnd w:id="23"/>
    </w:p>
    <w:p>
      <w:pPr>
        <w:pStyle w:val="Randziffer"/>
        <w:spacing w:after="0"/>
      </w:pPr>
      <w:r>
        <w:t>Von bilanzwirksamen und außerbilanziellen Aufrechnungsvereinbarungen machen wir im Kundengeschäft keinen Gebrauch.</w:t>
      </w:r>
    </w:p>
    <w:p>
      <w:pPr>
        <w:pStyle w:val="Randziffer"/>
        <w:spacing w:after="0"/>
      </w:pPr>
      <w:r>
        <w:t xml:space="preserve">Unsere Strategie zur Bewertung und Verwaltung der verwendeten berücksichtigungsfähigen Sicherheiten ist als Teil unserer Kreditrisikostrategie in ein übergreifendes Verfahren der Gesamtbanksteuerung eingebunden. Die von uns implementierten Risikosteuerungsprozesse beinhalten eine regelmäßige, vollständige Kreditrisikobeurteilung der besicherten Positionen einschließlich der Überprüfung der rechtlichen Wirksamkeit und der juristischen Durchsetzbarkeit der hereingenommenen Sicherheiten. </w:t>
      </w:r>
    </w:p>
    <w:p>
      <w:pPr>
        <w:pStyle w:val="Randziffer"/>
        <w:spacing w:after="0"/>
      </w:pPr>
      <w:r>
        <w:t xml:space="preserve">Für die Bewertung der verwendeten berücksichtigungsfähigen Sicherheiten haben wir Beleihungsrichtlinien eingeführt. Diese entsprechen den Richtlinien des genossenschaftlichen </w:t>
      </w:r>
      <w:proofErr w:type="spellStart"/>
      <w:r>
        <w:t>FinanzVerbundes</w:t>
      </w:r>
      <w:proofErr w:type="spellEnd"/>
      <w:r>
        <w:t xml:space="preserve"> zur Bewertung von Kreditsicherheiten.</w:t>
      </w:r>
    </w:p>
    <w:p>
      <w:pPr>
        <w:pStyle w:val="Randziffer"/>
        <w:rPr>
          <w:b/>
        </w:rPr>
      </w:pPr>
      <w:r>
        <w:t>Folgende Hauptarten von Sicherheiten werden von uns hinsichtlich des Kredit- und Verwässerungsrisikos als Sicherungsinstrumente risikomindernd in Anrechnung gebracht:</w:t>
      </w:r>
    </w:p>
    <w:p>
      <w:pPr>
        <w:keepNext/>
        <w:keepLines/>
        <w:numPr>
          <w:ilvl w:val="0"/>
          <w:numId w:val="6"/>
        </w:numPr>
        <w:tabs>
          <w:tab w:val="clear" w:pos="360"/>
        </w:tabs>
        <w:spacing w:before="40" w:after="40"/>
        <w:ind w:left="857" w:hanging="290"/>
        <w:rPr>
          <w:rFonts w:cs="Arial"/>
        </w:rPr>
      </w:pPr>
      <w:r>
        <w:rPr>
          <w:rFonts w:cs="Arial"/>
        </w:rPr>
        <w:t>Besicherung ohne Sicherheitsleistung</w:t>
      </w:r>
    </w:p>
    <w:p>
      <w:pPr>
        <w:pStyle w:val="Listenabsatz"/>
        <w:keepNext/>
        <w:keepLines/>
        <w:numPr>
          <w:ilvl w:val="0"/>
          <w:numId w:val="11"/>
        </w:numPr>
        <w:spacing w:before="40" w:after="40"/>
        <w:rPr>
          <w:rFonts w:cs="Arial"/>
          <w:sz w:val="20"/>
        </w:rPr>
      </w:pPr>
      <w:r>
        <w:rPr>
          <w:rFonts w:cs="Arial"/>
          <w:sz w:val="20"/>
        </w:rPr>
        <w:t>Bürgschaften und Garantien</w:t>
      </w:r>
    </w:p>
    <w:p>
      <w:pPr>
        <w:keepNext/>
        <w:keepLines/>
        <w:spacing w:before="40" w:after="40"/>
        <w:ind w:left="857"/>
        <w:rPr>
          <w:rFonts w:cs="Arial"/>
        </w:rPr>
      </w:pPr>
    </w:p>
    <w:p>
      <w:pPr>
        <w:keepNext/>
        <w:keepLines/>
        <w:numPr>
          <w:ilvl w:val="0"/>
          <w:numId w:val="6"/>
        </w:numPr>
        <w:tabs>
          <w:tab w:val="clear" w:pos="360"/>
        </w:tabs>
        <w:spacing w:before="40" w:after="40"/>
        <w:ind w:left="857" w:hanging="290"/>
        <w:rPr>
          <w:rFonts w:cs="Arial"/>
        </w:rPr>
      </w:pPr>
      <w:r>
        <w:rPr>
          <w:rFonts w:cs="Arial"/>
        </w:rPr>
        <w:t>Besicherung mit Sicherheitsleistung (Finanzielle Sicherheiten)</w:t>
      </w:r>
    </w:p>
    <w:p>
      <w:pPr>
        <w:pStyle w:val="Listenabsatz"/>
        <w:numPr>
          <w:ilvl w:val="0"/>
          <w:numId w:val="10"/>
        </w:numPr>
        <w:spacing w:before="40" w:after="40"/>
        <w:ind w:left="1213" w:hanging="357"/>
        <w:rPr>
          <w:rFonts w:cs="Arial"/>
          <w:sz w:val="20"/>
        </w:rPr>
      </w:pPr>
      <w:r>
        <w:rPr>
          <w:rFonts w:cs="Arial"/>
          <w:sz w:val="20"/>
        </w:rPr>
        <w:t>Verpfändete Guthaben in unserem Haus</w:t>
      </w:r>
    </w:p>
    <w:p>
      <w:pPr>
        <w:pStyle w:val="Listenabsatz"/>
        <w:keepNext/>
        <w:keepLines/>
        <w:numPr>
          <w:ilvl w:val="0"/>
          <w:numId w:val="10"/>
        </w:numPr>
        <w:spacing w:before="40" w:after="40"/>
        <w:ind w:left="1213" w:hanging="357"/>
        <w:rPr>
          <w:rFonts w:cs="Arial"/>
          <w:sz w:val="20"/>
        </w:rPr>
      </w:pPr>
      <w:r>
        <w:rPr>
          <w:rFonts w:cs="Arial"/>
          <w:sz w:val="20"/>
        </w:rPr>
        <w:t>Abgetretene Guthaben bei anderen Kreditinstituten und Bausparkassen</w:t>
      </w:r>
    </w:p>
    <w:p>
      <w:pPr>
        <w:pStyle w:val="Listenabsatz"/>
        <w:keepNext/>
        <w:keepLines/>
        <w:numPr>
          <w:ilvl w:val="0"/>
          <w:numId w:val="10"/>
        </w:numPr>
        <w:spacing w:before="40" w:after="40"/>
        <w:ind w:left="1213" w:hanging="357"/>
      </w:pPr>
      <w:r>
        <w:rPr>
          <w:sz w:val="20"/>
        </w:rPr>
        <w:t>Abgetretene oder verpfändete Lebensversicherungen</w:t>
      </w:r>
    </w:p>
    <w:p>
      <w:pPr>
        <w:pStyle w:val="Randziffer"/>
        <w:numPr>
          <w:ilvl w:val="0"/>
          <w:numId w:val="0"/>
        </w:numPr>
        <w:ind w:left="360"/>
      </w:pPr>
      <w:r>
        <w:t>Wir berücksichtigen diese Sicherheiten entsprechend der einfachen Methode für finanzielle Sicherheiten, bei der der besicherte Teil das Risikogewicht der finanziellen Sicherheit erhält.</w:t>
      </w:r>
    </w:p>
    <w:p>
      <w:pPr>
        <w:pStyle w:val="Randziffer"/>
      </w:pPr>
      <w:r>
        <w:t>Bei den Sicherungsgebern für die von uns risikomindernd angerechneten Bürgschaften und Garantien handelt es sich hauptsächlich um</w:t>
      </w:r>
    </w:p>
    <w:p>
      <w:pPr>
        <w:pStyle w:val="Listenabsatz"/>
        <w:numPr>
          <w:ilvl w:val="0"/>
          <w:numId w:val="12"/>
        </w:numPr>
        <w:spacing w:before="40" w:after="40"/>
        <w:rPr>
          <w:rFonts w:cs="Arial"/>
        </w:rPr>
      </w:pPr>
      <w:r>
        <w:rPr>
          <w:rFonts w:cs="Arial"/>
        </w:rPr>
        <w:t>öffentliche Stellen (Zentralregierungen, Regionalregierungen, örtliche Gebietskörperschaften),</w:t>
      </w:r>
    </w:p>
    <w:p>
      <w:pPr>
        <w:pStyle w:val="Listenabsatz"/>
        <w:numPr>
          <w:ilvl w:val="0"/>
          <w:numId w:val="12"/>
        </w:numPr>
        <w:spacing w:before="40" w:after="40"/>
        <w:rPr>
          <w:rFonts w:cs="Arial"/>
        </w:rPr>
      </w:pPr>
      <w:r>
        <w:rPr>
          <w:rFonts w:cs="Arial"/>
        </w:rPr>
        <w:t>inländische Kreditinstitute,</w:t>
      </w:r>
    </w:p>
    <w:p>
      <w:pPr>
        <w:pStyle w:val="Listenabsatz"/>
        <w:numPr>
          <w:ilvl w:val="0"/>
          <w:numId w:val="12"/>
        </w:numPr>
        <w:spacing w:before="40" w:after="40"/>
        <w:rPr>
          <w:rFonts w:cs="Arial"/>
        </w:rPr>
      </w:pPr>
      <w:r>
        <w:rPr>
          <w:rFonts w:cs="Arial"/>
        </w:rPr>
        <w:t xml:space="preserve">Unternehmen mit einem externen Rating nach S&amp;P, Moody´s bzw. Fitch </w:t>
      </w:r>
    </w:p>
    <w:p>
      <w:pPr>
        <w:spacing w:before="40" w:after="40"/>
        <w:ind w:left="360"/>
      </w:pPr>
    </w:p>
    <w:p>
      <w:pPr>
        <w:spacing w:before="40" w:after="40"/>
        <w:ind w:left="360"/>
      </w:pPr>
      <w:r>
        <w:t>Kreditderivate werden von uns nicht genutzt.</w:t>
      </w:r>
    </w:p>
    <w:p>
      <w:pPr>
        <w:pStyle w:val="Randziffer"/>
      </w:pPr>
      <w:r>
        <w:t xml:space="preserve">Innerhalb der von uns verwendeten berücksichtigungsfähigen Sicherungsinstrumente sind wir keine Markt- oder Kreditrisikokonzentrationen eingegangen. </w:t>
      </w:r>
    </w:p>
    <w:p>
      <w:pPr>
        <w:pStyle w:val="Randziffer"/>
        <w:numPr>
          <w:ilvl w:val="0"/>
          <w:numId w:val="0"/>
        </w:numPr>
        <w:ind w:left="499"/>
      </w:pPr>
      <w:r>
        <w:t>Die Verfahren zur Erkennung und Steuerung potenzieller Konzentrationen sind in unsere Gesamtbanksteuerung integriert.</w:t>
      </w:r>
    </w:p>
    <w:p>
      <w:pPr>
        <w:pStyle w:val="Randziffer"/>
      </w:pPr>
      <w:r>
        <w:t>Für die einzelnen Forderungsklassen ergeben sich folgende Gesamtbeträge an gesicherten Positionswerten:</w:t>
      </w:r>
    </w:p>
    <w:tbl>
      <w:tblPr>
        <w:tblW w:w="8574" w:type="dxa"/>
        <w:tblInd w:w="4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402"/>
        <w:gridCol w:w="2551"/>
        <w:gridCol w:w="2621"/>
      </w:tblGrid>
      <w:tr>
        <w:trPr>
          <w:cantSplit/>
          <w:trHeight w:val="567"/>
        </w:trPr>
        <w:tc>
          <w:tcPr>
            <w:tcW w:w="3402" w:type="dxa"/>
            <w:vMerge w:val="restart"/>
            <w:shd w:val="clear" w:color="auto" w:fill="00B0F0"/>
            <w:vAlign w:val="center"/>
          </w:tcPr>
          <w:p>
            <w:pPr>
              <w:keepNext/>
              <w:keepLines/>
              <w:spacing w:before="20" w:after="20"/>
              <w:rPr>
                <w:b/>
                <w:bCs/>
                <w:color w:val="FFFFFF" w:themeColor="background1"/>
                <w:sz w:val="18"/>
              </w:rPr>
            </w:pPr>
            <w:r>
              <w:rPr>
                <w:b/>
                <w:bCs/>
                <w:color w:val="FFFFFF" w:themeColor="background1"/>
                <w:sz w:val="18"/>
              </w:rPr>
              <w:lastRenderedPageBreak/>
              <w:t>Risikopositionsklassen</w:t>
            </w:r>
          </w:p>
        </w:tc>
        <w:tc>
          <w:tcPr>
            <w:tcW w:w="5172" w:type="dxa"/>
            <w:gridSpan w:val="2"/>
            <w:shd w:val="clear" w:color="auto" w:fill="00B0F0"/>
            <w:vAlign w:val="center"/>
          </w:tcPr>
          <w:p>
            <w:pPr>
              <w:keepNext/>
              <w:keepLines/>
              <w:spacing w:before="20" w:after="20"/>
              <w:ind w:right="-430"/>
              <w:jc w:val="center"/>
              <w:rPr>
                <w:b/>
                <w:bCs/>
                <w:color w:val="FFFFFF"/>
                <w:sz w:val="18"/>
              </w:rPr>
            </w:pPr>
            <w:r>
              <w:rPr>
                <w:b/>
                <w:bCs/>
                <w:color w:val="FFFFFF" w:themeColor="background1"/>
                <w:sz w:val="18"/>
              </w:rPr>
              <w:t>Summe der Positionswerte,</w:t>
            </w:r>
            <w:r>
              <w:rPr>
                <w:b/>
                <w:bCs/>
                <w:color w:val="FFFFFF" w:themeColor="background1"/>
                <w:sz w:val="18"/>
              </w:rPr>
              <w:br/>
              <w:t xml:space="preserve">die besichert sind durch berücksichtigungsfähige </w:t>
            </w:r>
          </w:p>
        </w:tc>
      </w:tr>
      <w:tr>
        <w:trPr>
          <w:cantSplit/>
        </w:trPr>
        <w:tc>
          <w:tcPr>
            <w:tcW w:w="3402" w:type="dxa"/>
            <w:vMerge/>
            <w:shd w:val="clear" w:color="auto" w:fill="00B0F0"/>
          </w:tcPr>
          <w:p>
            <w:pPr>
              <w:keepNext/>
              <w:keepLines/>
              <w:spacing w:before="20" w:after="20"/>
              <w:rPr>
                <w:b/>
                <w:bCs/>
                <w:sz w:val="18"/>
              </w:rPr>
            </w:pPr>
          </w:p>
        </w:tc>
        <w:tc>
          <w:tcPr>
            <w:tcW w:w="2551" w:type="dxa"/>
            <w:shd w:val="clear" w:color="auto" w:fill="00B0F0"/>
            <w:vAlign w:val="center"/>
          </w:tcPr>
          <w:p>
            <w:pPr>
              <w:keepNext/>
              <w:keepLines/>
              <w:spacing w:before="20" w:after="20"/>
              <w:ind w:right="-70"/>
              <w:jc w:val="center"/>
              <w:rPr>
                <w:b/>
                <w:color w:val="FFFFFF" w:themeColor="background1"/>
                <w:sz w:val="18"/>
              </w:rPr>
            </w:pPr>
            <w:r>
              <w:rPr>
                <w:b/>
                <w:color w:val="FFFFFF" w:themeColor="background1"/>
                <w:sz w:val="18"/>
              </w:rPr>
              <w:t xml:space="preserve">Gewährleistungen </w:t>
            </w:r>
          </w:p>
          <w:p>
            <w:pPr>
              <w:keepNext/>
              <w:keepLines/>
              <w:spacing w:before="20" w:after="20"/>
              <w:ind w:right="-70"/>
              <w:jc w:val="center"/>
              <w:rPr>
                <w:b/>
                <w:color w:val="FFFFFF" w:themeColor="background1"/>
                <w:sz w:val="18"/>
              </w:rPr>
            </w:pPr>
            <w:r>
              <w:rPr>
                <w:b/>
                <w:color w:val="FFFFFF" w:themeColor="background1"/>
                <w:sz w:val="18"/>
              </w:rPr>
              <w:t>TEUR</w:t>
            </w:r>
          </w:p>
        </w:tc>
        <w:tc>
          <w:tcPr>
            <w:tcW w:w="2621" w:type="dxa"/>
            <w:shd w:val="clear" w:color="auto" w:fill="00B0F0"/>
            <w:vAlign w:val="center"/>
          </w:tcPr>
          <w:p>
            <w:pPr>
              <w:keepNext/>
              <w:keepLines/>
              <w:spacing w:before="20" w:after="20"/>
              <w:jc w:val="center"/>
              <w:rPr>
                <w:b/>
                <w:color w:val="FFFFFF" w:themeColor="background1"/>
                <w:sz w:val="18"/>
              </w:rPr>
            </w:pPr>
            <w:r>
              <w:rPr>
                <w:b/>
                <w:color w:val="FFFFFF" w:themeColor="background1"/>
                <w:sz w:val="18"/>
              </w:rPr>
              <w:t>Lebens-versicherungen /    finanzielle Sicherheiten</w:t>
            </w:r>
          </w:p>
          <w:p>
            <w:pPr>
              <w:keepNext/>
              <w:keepLines/>
              <w:spacing w:before="20" w:after="20"/>
              <w:jc w:val="center"/>
              <w:rPr>
                <w:b/>
                <w:color w:val="FFFFFF" w:themeColor="background1"/>
                <w:sz w:val="18"/>
              </w:rPr>
            </w:pPr>
            <w:r>
              <w:rPr>
                <w:b/>
                <w:color w:val="FFFFFF" w:themeColor="background1"/>
                <w:sz w:val="18"/>
              </w:rPr>
              <w:t>TEUR</w:t>
            </w:r>
          </w:p>
        </w:tc>
      </w:tr>
      <w:tr>
        <w:trPr>
          <w:cantSplit/>
          <w:trHeight w:val="409"/>
        </w:trPr>
        <w:tc>
          <w:tcPr>
            <w:tcW w:w="3402" w:type="dxa"/>
            <w:shd w:val="clear" w:color="auto" w:fill="auto"/>
            <w:vAlign w:val="center"/>
          </w:tcPr>
          <w:p>
            <w:pPr>
              <w:keepNext/>
              <w:keepLines/>
              <w:spacing w:before="20" w:after="20"/>
              <w:jc w:val="left"/>
              <w:rPr>
                <w:bCs/>
                <w:sz w:val="16"/>
                <w:szCs w:val="16"/>
              </w:rPr>
            </w:pPr>
            <w:r>
              <w:rPr>
                <w:bCs/>
                <w:sz w:val="16"/>
                <w:szCs w:val="16"/>
              </w:rPr>
              <w:t>Zentralregierungen</w:t>
            </w:r>
          </w:p>
        </w:tc>
        <w:tc>
          <w:tcPr>
            <w:tcW w:w="2551" w:type="dxa"/>
            <w:shd w:val="clear" w:color="auto" w:fill="auto"/>
            <w:vAlign w:val="center"/>
          </w:tcPr>
          <w:p>
            <w:pPr>
              <w:keepNext/>
              <w:keepLines/>
              <w:spacing w:before="20" w:after="20"/>
              <w:ind w:right="255"/>
              <w:jc w:val="right"/>
              <w:rPr>
                <w:bCs/>
                <w:sz w:val="16"/>
                <w:szCs w:val="16"/>
              </w:rPr>
            </w:pPr>
            <w:r>
              <w:rPr>
                <w:bCs/>
                <w:sz w:val="16"/>
                <w:szCs w:val="16"/>
              </w:rPr>
              <w:t>0</w:t>
            </w:r>
          </w:p>
        </w:tc>
        <w:tc>
          <w:tcPr>
            <w:tcW w:w="2621" w:type="dxa"/>
            <w:shd w:val="clear" w:color="auto" w:fill="auto"/>
            <w:vAlign w:val="center"/>
          </w:tcPr>
          <w:p>
            <w:pPr>
              <w:keepNext/>
              <w:keepLines/>
              <w:spacing w:before="20" w:after="20"/>
              <w:ind w:right="255"/>
              <w:jc w:val="right"/>
              <w:rPr>
                <w:bCs/>
                <w:sz w:val="16"/>
                <w:szCs w:val="16"/>
              </w:rPr>
            </w:pPr>
            <w:r>
              <w:rPr>
                <w:bCs/>
                <w:sz w:val="16"/>
                <w:szCs w:val="16"/>
              </w:rPr>
              <w:t>0</w:t>
            </w:r>
          </w:p>
        </w:tc>
      </w:tr>
      <w:tr>
        <w:trPr>
          <w:cantSplit/>
          <w:trHeight w:val="409"/>
        </w:trPr>
        <w:tc>
          <w:tcPr>
            <w:tcW w:w="3402" w:type="dxa"/>
            <w:shd w:val="clear" w:color="auto" w:fill="auto"/>
            <w:vAlign w:val="center"/>
          </w:tcPr>
          <w:p>
            <w:pPr>
              <w:keepNext/>
              <w:keepLines/>
              <w:spacing w:before="20" w:after="20"/>
              <w:jc w:val="left"/>
              <w:rPr>
                <w:bCs/>
                <w:sz w:val="16"/>
                <w:szCs w:val="16"/>
              </w:rPr>
            </w:pPr>
            <w:r>
              <w:rPr>
                <w:bCs/>
                <w:sz w:val="16"/>
                <w:szCs w:val="16"/>
              </w:rPr>
              <w:t>Regionalregierungen und örtliche Gebietskörperschaften</w:t>
            </w:r>
          </w:p>
        </w:tc>
        <w:tc>
          <w:tcPr>
            <w:tcW w:w="2551" w:type="dxa"/>
            <w:shd w:val="clear" w:color="auto" w:fill="auto"/>
            <w:vAlign w:val="center"/>
          </w:tcPr>
          <w:p>
            <w:pPr>
              <w:keepNext/>
              <w:keepLines/>
              <w:spacing w:before="20" w:after="20"/>
              <w:ind w:right="255"/>
              <w:jc w:val="right"/>
              <w:rPr>
                <w:bCs/>
                <w:sz w:val="16"/>
                <w:szCs w:val="16"/>
              </w:rPr>
            </w:pPr>
            <w:r>
              <w:rPr>
                <w:bCs/>
                <w:sz w:val="16"/>
                <w:szCs w:val="16"/>
              </w:rPr>
              <w:t>0</w:t>
            </w:r>
          </w:p>
        </w:tc>
        <w:tc>
          <w:tcPr>
            <w:tcW w:w="2621" w:type="dxa"/>
            <w:shd w:val="clear" w:color="auto" w:fill="auto"/>
            <w:vAlign w:val="center"/>
          </w:tcPr>
          <w:p>
            <w:pPr>
              <w:keepNext/>
              <w:keepLines/>
              <w:spacing w:before="20" w:after="20"/>
              <w:ind w:right="255"/>
              <w:jc w:val="right"/>
              <w:rPr>
                <w:bCs/>
                <w:sz w:val="16"/>
                <w:szCs w:val="16"/>
              </w:rPr>
            </w:pPr>
            <w:r>
              <w:rPr>
                <w:bCs/>
                <w:sz w:val="16"/>
                <w:szCs w:val="16"/>
              </w:rPr>
              <w:t>0</w:t>
            </w:r>
          </w:p>
        </w:tc>
      </w:tr>
      <w:tr>
        <w:trPr>
          <w:cantSplit/>
          <w:trHeight w:val="409"/>
        </w:trPr>
        <w:tc>
          <w:tcPr>
            <w:tcW w:w="3402" w:type="dxa"/>
            <w:shd w:val="clear" w:color="auto" w:fill="auto"/>
            <w:vAlign w:val="center"/>
          </w:tcPr>
          <w:p>
            <w:pPr>
              <w:keepNext/>
              <w:keepLines/>
              <w:spacing w:before="20" w:after="20"/>
              <w:jc w:val="left"/>
              <w:rPr>
                <w:bCs/>
                <w:sz w:val="16"/>
                <w:szCs w:val="16"/>
              </w:rPr>
            </w:pPr>
            <w:r>
              <w:rPr>
                <w:bCs/>
                <w:sz w:val="16"/>
                <w:szCs w:val="16"/>
              </w:rPr>
              <w:t>Sonstige öffentliche Stellen</w:t>
            </w:r>
          </w:p>
        </w:tc>
        <w:tc>
          <w:tcPr>
            <w:tcW w:w="2551" w:type="dxa"/>
            <w:shd w:val="clear" w:color="auto" w:fill="auto"/>
            <w:vAlign w:val="center"/>
          </w:tcPr>
          <w:p>
            <w:pPr>
              <w:keepNext/>
              <w:keepLines/>
              <w:spacing w:before="20" w:after="20"/>
              <w:ind w:right="255"/>
              <w:jc w:val="right"/>
              <w:rPr>
                <w:bCs/>
                <w:sz w:val="16"/>
                <w:szCs w:val="16"/>
              </w:rPr>
            </w:pPr>
            <w:r>
              <w:rPr>
                <w:bCs/>
                <w:sz w:val="16"/>
                <w:szCs w:val="16"/>
              </w:rPr>
              <w:t>0</w:t>
            </w:r>
          </w:p>
        </w:tc>
        <w:tc>
          <w:tcPr>
            <w:tcW w:w="2621" w:type="dxa"/>
            <w:shd w:val="clear" w:color="auto" w:fill="auto"/>
            <w:vAlign w:val="center"/>
          </w:tcPr>
          <w:p>
            <w:pPr>
              <w:keepNext/>
              <w:keepLines/>
              <w:spacing w:before="20" w:after="20"/>
              <w:ind w:right="255"/>
              <w:jc w:val="right"/>
              <w:rPr>
                <w:bCs/>
                <w:sz w:val="16"/>
                <w:szCs w:val="16"/>
              </w:rPr>
            </w:pPr>
            <w:r>
              <w:rPr>
                <w:bCs/>
                <w:sz w:val="16"/>
                <w:szCs w:val="16"/>
              </w:rPr>
              <w:t>0</w:t>
            </w:r>
          </w:p>
        </w:tc>
      </w:tr>
      <w:tr>
        <w:trPr>
          <w:cantSplit/>
          <w:trHeight w:val="409"/>
        </w:trPr>
        <w:tc>
          <w:tcPr>
            <w:tcW w:w="3402" w:type="dxa"/>
            <w:shd w:val="clear" w:color="auto" w:fill="auto"/>
            <w:vAlign w:val="center"/>
          </w:tcPr>
          <w:p>
            <w:pPr>
              <w:keepNext/>
              <w:keepLines/>
              <w:spacing w:before="20" w:after="20"/>
              <w:jc w:val="left"/>
              <w:rPr>
                <w:bCs/>
                <w:sz w:val="16"/>
                <w:szCs w:val="16"/>
              </w:rPr>
            </w:pPr>
            <w:r>
              <w:rPr>
                <w:bCs/>
                <w:sz w:val="16"/>
                <w:szCs w:val="16"/>
              </w:rPr>
              <w:t>Institute</w:t>
            </w:r>
          </w:p>
        </w:tc>
        <w:tc>
          <w:tcPr>
            <w:tcW w:w="2551" w:type="dxa"/>
            <w:shd w:val="clear" w:color="auto" w:fill="auto"/>
            <w:vAlign w:val="center"/>
          </w:tcPr>
          <w:p>
            <w:pPr>
              <w:keepNext/>
              <w:keepLines/>
              <w:spacing w:before="20" w:after="20"/>
              <w:ind w:right="255"/>
              <w:jc w:val="right"/>
              <w:rPr>
                <w:bCs/>
                <w:sz w:val="16"/>
                <w:szCs w:val="16"/>
              </w:rPr>
            </w:pPr>
            <w:r>
              <w:rPr>
                <w:bCs/>
                <w:sz w:val="16"/>
                <w:szCs w:val="16"/>
              </w:rPr>
              <w:t>0</w:t>
            </w:r>
          </w:p>
        </w:tc>
        <w:tc>
          <w:tcPr>
            <w:tcW w:w="2621" w:type="dxa"/>
            <w:shd w:val="clear" w:color="auto" w:fill="auto"/>
            <w:vAlign w:val="center"/>
          </w:tcPr>
          <w:p>
            <w:pPr>
              <w:keepNext/>
              <w:keepLines/>
              <w:spacing w:before="20" w:after="20"/>
              <w:ind w:right="255"/>
              <w:jc w:val="right"/>
              <w:rPr>
                <w:bCs/>
                <w:sz w:val="16"/>
                <w:szCs w:val="16"/>
              </w:rPr>
            </w:pPr>
            <w:r>
              <w:rPr>
                <w:bCs/>
                <w:sz w:val="16"/>
                <w:szCs w:val="16"/>
              </w:rPr>
              <w:t>0</w:t>
            </w:r>
          </w:p>
        </w:tc>
      </w:tr>
      <w:tr>
        <w:trPr>
          <w:cantSplit/>
          <w:trHeight w:val="409"/>
        </w:trPr>
        <w:tc>
          <w:tcPr>
            <w:tcW w:w="3402" w:type="dxa"/>
            <w:shd w:val="clear" w:color="auto" w:fill="auto"/>
            <w:vAlign w:val="center"/>
          </w:tcPr>
          <w:p>
            <w:pPr>
              <w:keepNext/>
              <w:keepLines/>
              <w:spacing w:before="20" w:after="20"/>
              <w:jc w:val="left"/>
              <w:rPr>
                <w:bCs/>
                <w:sz w:val="16"/>
                <w:szCs w:val="16"/>
              </w:rPr>
            </w:pPr>
            <w:r>
              <w:rPr>
                <w:bCs/>
                <w:sz w:val="16"/>
                <w:szCs w:val="16"/>
              </w:rPr>
              <w:t>Mengengeschäft</w:t>
            </w:r>
          </w:p>
        </w:tc>
        <w:tc>
          <w:tcPr>
            <w:tcW w:w="2551" w:type="dxa"/>
            <w:shd w:val="clear" w:color="auto" w:fill="auto"/>
            <w:vAlign w:val="center"/>
          </w:tcPr>
          <w:p>
            <w:pPr>
              <w:keepNext/>
              <w:keepLines/>
              <w:spacing w:before="20" w:after="20"/>
              <w:ind w:right="255"/>
              <w:jc w:val="right"/>
              <w:rPr>
                <w:bCs/>
                <w:sz w:val="16"/>
                <w:szCs w:val="16"/>
              </w:rPr>
            </w:pPr>
            <w:r>
              <w:rPr>
                <w:bCs/>
                <w:sz w:val="16"/>
                <w:szCs w:val="16"/>
              </w:rPr>
              <w:t>713</w:t>
            </w:r>
          </w:p>
        </w:tc>
        <w:tc>
          <w:tcPr>
            <w:tcW w:w="2621" w:type="dxa"/>
            <w:shd w:val="clear" w:color="auto" w:fill="auto"/>
            <w:vAlign w:val="center"/>
          </w:tcPr>
          <w:p>
            <w:pPr>
              <w:keepNext/>
              <w:keepLines/>
              <w:spacing w:before="20" w:after="20"/>
              <w:ind w:right="255"/>
              <w:jc w:val="right"/>
              <w:rPr>
                <w:bCs/>
                <w:sz w:val="16"/>
                <w:szCs w:val="16"/>
              </w:rPr>
            </w:pPr>
            <w:r>
              <w:rPr>
                <w:bCs/>
                <w:sz w:val="16"/>
                <w:szCs w:val="16"/>
              </w:rPr>
              <w:t>1.716</w:t>
            </w:r>
          </w:p>
        </w:tc>
      </w:tr>
      <w:tr>
        <w:trPr>
          <w:cantSplit/>
          <w:trHeight w:val="387"/>
        </w:trPr>
        <w:tc>
          <w:tcPr>
            <w:tcW w:w="3402" w:type="dxa"/>
            <w:shd w:val="clear" w:color="auto" w:fill="auto"/>
            <w:vAlign w:val="center"/>
          </w:tcPr>
          <w:p>
            <w:pPr>
              <w:keepNext/>
              <w:keepLines/>
              <w:spacing w:before="20" w:after="20"/>
              <w:jc w:val="left"/>
              <w:rPr>
                <w:bCs/>
                <w:sz w:val="16"/>
                <w:szCs w:val="16"/>
              </w:rPr>
            </w:pPr>
            <w:r>
              <w:rPr>
                <w:bCs/>
                <w:sz w:val="16"/>
                <w:szCs w:val="16"/>
              </w:rPr>
              <w:t>Unternehmen</w:t>
            </w:r>
          </w:p>
        </w:tc>
        <w:tc>
          <w:tcPr>
            <w:tcW w:w="2551" w:type="dxa"/>
            <w:shd w:val="clear" w:color="auto" w:fill="auto"/>
            <w:vAlign w:val="center"/>
          </w:tcPr>
          <w:p>
            <w:pPr>
              <w:keepNext/>
              <w:keepLines/>
              <w:spacing w:before="20" w:after="20"/>
              <w:ind w:right="255"/>
              <w:jc w:val="right"/>
              <w:rPr>
                <w:bCs/>
                <w:sz w:val="16"/>
                <w:szCs w:val="16"/>
              </w:rPr>
            </w:pPr>
            <w:r>
              <w:rPr>
                <w:bCs/>
                <w:sz w:val="16"/>
                <w:szCs w:val="16"/>
              </w:rPr>
              <w:t>7.236</w:t>
            </w:r>
          </w:p>
        </w:tc>
        <w:tc>
          <w:tcPr>
            <w:tcW w:w="2621" w:type="dxa"/>
            <w:shd w:val="clear" w:color="auto" w:fill="auto"/>
            <w:vAlign w:val="center"/>
          </w:tcPr>
          <w:p>
            <w:pPr>
              <w:keepNext/>
              <w:keepLines/>
              <w:spacing w:before="20" w:after="20"/>
              <w:ind w:right="255"/>
              <w:jc w:val="right"/>
              <w:rPr>
                <w:bCs/>
                <w:sz w:val="16"/>
                <w:szCs w:val="16"/>
              </w:rPr>
            </w:pPr>
            <w:r>
              <w:rPr>
                <w:bCs/>
                <w:sz w:val="16"/>
                <w:szCs w:val="16"/>
              </w:rPr>
              <w:t>1.377</w:t>
            </w:r>
          </w:p>
        </w:tc>
      </w:tr>
      <w:tr>
        <w:trPr>
          <w:cantSplit/>
          <w:trHeight w:val="406"/>
        </w:trPr>
        <w:tc>
          <w:tcPr>
            <w:tcW w:w="3402" w:type="dxa"/>
            <w:shd w:val="clear" w:color="auto" w:fill="auto"/>
            <w:vAlign w:val="center"/>
          </w:tcPr>
          <w:p>
            <w:pPr>
              <w:keepNext/>
              <w:keepLines/>
              <w:spacing w:before="20" w:after="20"/>
              <w:jc w:val="left"/>
              <w:rPr>
                <w:sz w:val="16"/>
                <w:szCs w:val="16"/>
              </w:rPr>
            </w:pPr>
            <w:r>
              <w:rPr>
                <w:bCs/>
                <w:sz w:val="16"/>
                <w:szCs w:val="16"/>
              </w:rPr>
              <w:t>Durch Immobilien besicherte Positionen</w:t>
            </w:r>
          </w:p>
        </w:tc>
        <w:tc>
          <w:tcPr>
            <w:tcW w:w="2551" w:type="dxa"/>
            <w:shd w:val="clear" w:color="auto" w:fill="auto"/>
            <w:vAlign w:val="center"/>
          </w:tcPr>
          <w:p>
            <w:pPr>
              <w:keepNext/>
              <w:keepLines/>
              <w:spacing w:before="20" w:after="20"/>
              <w:ind w:right="255"/>
              <w:jc w:val="right"/>
              <w:rPr>
                <w:bCs/>
                <w:sz w:val="16"/>
                <w:szCs w:val="16"/>
              </w:rPr>
            </w:pPr>
            <w:r>
              <w:rPr>
                <w:bCs/>
                <w:sz w:val="16"/>
                <w:szCs w:val="16"/>
              </w:rPr>
              <w:t>0</w:t>
            </w:r>
          </w:p>
        </w:tc>
        <w:tc>
          <w:tcPr>
            <w:tcW w:w="2621" w:type="dxa"/>
            <w:shd w:val="clear" w:color="auto" w:fill="auto"/>
            <w:vAlign w:val="center"/>
          </w:tcPr>
          <w:p>
            <w:pPr>
              <w:keepNext/>
              <w:keepLines/>
              <w:spacing w:before="20" w:after="20"/>
              <w:ind w:right="255"/>
              <w:jc w:val="right"/>
              <w:rPr>
                <w:bCs/>
                <w:sz w:val="16"/>
                <w:szCs w:val="16"/>
              </w:rPr>
            </w:pPr>
            <w:r>
              <w:rPr>
                <w:bCs/>
                <w:sz w:val="16"/>
                <w:szCs w:val="16"/>
              </w:rPr>
              <w:t>0</w:t>
            </w:r>
          </w:p>
        </w:tc>
      </w:tr>
      <w:tr>
        <w:trPr>
          <w:cantSplit/>
          <w:trHeight w:val="399"/>
        </w:trPr>
        <w:tc>
          <w:tcPr>
            <w:tcW w:w="3402" w:type="dxa"/>
            <w:shd w:val="clear" w:color="auto" w:fill="auto"/>
            <w:vAlign w:val="center"/>
          </w:tcPr>
          <w:p>
            <w:pPr>
              <w:keepNext/>
              <w:keepLines/>
              <w:spacing w:before="20" w:after="20"/>
              <w:jc w:val="left"/>
              <w:rPr>
                <w:bCs/>
                <w:sz w:val="16"/>
                <w:szCs w:val="16"/>
              </w:rPr>
            </w:pPr>
            <w:r>
              <w:rPr>
                <w:bCs/>
                <w:sz w:val="16"/>
                <w:szCs w:val="16"/>
              </w:rPr>
              <w:t>Ausgefallene Positionen</w:t>
            </w:r>
          </w:p>
        </w:tc>
        <w:tc>
          <w:tcPr>
            <w:tcW w:w="2551" w:type="dxa"/>
            <w:shd w:val="clear" w:color="auto" w:fill="auto"/>
            <w:vAlign w:val="center"/>
          </w:tcPr>
          <w:p>
            <w:pPr>
              <w:keepNext/>
              <w:keepLines/>
              <w:spacing w:before="20" w:after="20"/>
              <w:ind w:right="255"/>
              <w:jc w:val="right"/>
              <w:rPr>
                <w:bCs/>
                <w:sz w:val="16"/>
                <w:szCs w:val="16"/>
              </w:rPr>
            </w:pPr>
            <w:r>
              <w:rPr>
                <w:rFonts w:cs="Arial"/>
                <w:sz w:val="16"/>
                <w:szCs w:val="16"/>
              </w:rPr>
              <w:t>0</w:t>
            </w:r>
          </w:p>
        </w:tc>
        <w:tc>
          <w:tcPr>
            <w:tcW w:w="2621" w:type="dxa"/>
            <w:shd w:val="clear" w:color="auto" w:fill="auto"/>
            <w:vAlign w:val="center"/>
          </w:tcPr>
          <w:p>
            <w:pPr>
              <w:keepNext/>
              <w:keepLines/>
              <w:spacing w:before="20" w:after="20"/>
              <w:ind w:right="255"/>
              <w:jc w:val="right"/>
              <w:rPr>
                <w:bCs/>
                <w:sz w:val="16"/>
                <w:szCs w:val="16"/>
              </w:rPr>
            </w:pPr>
            <w:r>
              <w:rPr>
                <w:bCs/>
                <w:sz w:val="16"/>
                <w:szCs w:val="16"/>
              </w:rPr>
              <w:t>57</w:t>
            </w:r>
          </w:p>
        </w:tc>
      </w:tr>
    </w:tbl>
    <w:p>
      <w:pPr>
        <w:pStyle w:val="berschrift1"/>
        <w:rPr>
          <w:b w:val="0"/>
        </w:rPr>
      </w:pPr>
      <w:bookmarkStart w:id="24" w:name="_Toc436146686"/>
      <w:r>
        <w:rPr>
          <w:b w:val="0"/>
        </w:rPr>
        <w:t>Unbelastete Vermögenswerte (Art. 443)</w:t>
      </w:r>
      <w:bookmarkEnd w:id="24"/>
    </w:p>
    <w:p>
      <w:pPr>
        <w:pStyle w:val="Randziffer"/>
      </w:pPr>
      <w:r>
        <w:t>Übersicht über belastete und unbelastete Vermögenswerte:</w:t>
      </w:r>
    </w:p>
    <w:tbl>
      <w:tblPr>
        <w:tblStyle w:val="Tabellenraster"/>
        <w:tblW w:w="9355" w:type="dxa"/>
        <w:tblInd w:w="279" w:type="dxa"/>
        <w:tblLayout w:type="fixed"/>
        <w:tblLook w:val="04A0" w:firstRow="1" w:lastRow="0" w:firstColumn="1" w:lastColumn="0" w:noHBand="0" w:noVBand="1"/>
      </w:tblPr>
      <w:tblGrid>
        <w:gridCol w:w="1559"/>
        <w:gridCol w:w="992"/>
        <w:gridCol w:w="993"/>
        <w:gridCol w:w="850"/>
        <w:gridCol w:w="992"/>
        <w:gridCol w:w="993"/>
        <w:gridCol w:w="992"/>
        <w:gridCol w:w="992"/>
        <w:gridCol w:w="992"/>
      </w:tblGrid>
      <w:tr>
        <w:trPr>
          <w:trHeight w:val="640"/>
        </w:trPr>
        <w:tc>
          <w:tcPr>
            <w:tcW w:w="1559" w:type="dxa"/>
            <w:vMerge w:val="restart"/>
            <w:shd w:val="clear" w:color="auto" w:fill="00B0F0"/>
            <w:vAlign w:val="center"/>
          </w:tcPr>
          <w:p>
            <w:pPr>
              <w:pStyle w:val="Randziffer"/>
              <w:numPr>
                <w:ilvl w:val="0"/>
                <w:numId w:val="0"/>
              </w:numPr>
              <w:rPr>
                <w:b/>
                <w:sz w:val="14"/>
                <w:szCs w:val="14"/>
              </w:rPr>
            </w:pPr>
            <w:r>
              <w:rPr>
                <w:b/>
                <w:color w:val="FFFFFF" w:themeColor="background1"/>
                <w:sz w:val="14"/>
                <w:szCs w:val="14"/>
              </w:rPr>
              <w:t>Angaben in TEUR</w:t>
            </w:r>
          </w:p>
        </w:tc>
        <w:tc>
          <w:tcPr>
            <w:tcW w:w="1985" w:type="dxa"/>
            <w:gridSpan w:val="2"/>
            <w:tcBorders>
              <w:bottom w:val="nil"/>
            </w:tcBorders>
            <w:shd w:val="clear" w:color="auto" w:fill="00B0F0"/>
          </w:tcPr>
          <w:p>
            <w:pPr>
              <w:pStyle w:val="Randziffer"/>
              <w:numPr>
                <w:ilvl w:val="0"/>
                <w:numId w:val="0"/>
              </w:numPr>
              <w:jc w:val="center"/>
              <w:rPr>
                <w:b/>
                <w:color w:val="FFFFFF" w:themeColor="background1"/>
                <w:sz w:val="14"/>
                <w:szCs w:val="14"/>
              </w:rPr>
            </w:pPr>
            <w:r>
              <w:rPr>
                <w:b/>
                <w:color w:val="FFFFFF" w:themeColor="background1"/>
                <w:sz w:val="14"/>
                <w:szCs w:val="14"/>
              </w:rPr>
              <w:t>Buchwerte der belasteten Vermögenswerte</w:t>
            </w:r>
          </w:p>
        </w:tc>
        <w:tc>
          <w:tcPr>
            <w:tcW w:w="1842" w:type="dxa"/>
            <w:gridSpan w:val="2"/>
            <w:tcBorders>
              <w:bottom w:val="nil"/>
            </w:tcBorders>
            <w:shd w:val="clear" w:color="auto" w:fill="00B0F0"/>
          </w:tcPr>
          <w:p>
            <w:pPr>
              <w:pStyle w:val="Randziffer"/>
              <w:numPr>
                <w:ilvl w:val="0"/>
                <w:numId w:val="0"/>
              </w:numPr>
              <w:jc w:val="center"/>
              <w:rPr>
                <w:b/>
                <w:color w:val="FFFFFF" w:themeColor="background1"/>
                <w:sz w:val="14"/>
                <w:szCs w:val="14"/>
              </w:rPr>
            </w:pPr>
            <w:r>
              <w:rPr>
                <w:b/>
                <w:color w:val="FFFFFF" w:themeColor="background1"/>
                <w:sz w:val="14"/>
                <w:szCs w:val="14"/>
              </w:rPr>
              <w:t>Beizulegender Zeitwert der belasteten Vermögenswerte</w:t>
            </w:r>
          </w:p>
        </w:tc>
        <w:tc>
          <w:tcPr>
            <w:tcW w:w="1985" w:type="dxa"/>
            <w:gridSpan w:val="2"/>
            <w:tcBorders>
              <w:bottom w:val="nil"/>
            </w:tcBorders>
            <w:shd w:val="clear" w:color="auto" w:fill="00B0F0"/>
          </w:tcPr>
          <w:p>
            <w:pPr>
              <w:pStyle w:val="Randziffer"/>
              <w:numPr>
                <w:ilvl w:val="0"/>
                <w:numId w:val="0"/>
              </w:numPr>
              <w:jc w:val="center"/>
              <w:rPr>
                <w:b/>
                <w:color w:val="FFFFFF" w:themeColor="background1"/>
                <w:sz w:val="14"/>
                <w:szCs w:val="14"/>
              </w:rPr>
            </w:pPr>
            <w:r>
              <w:rPr>
                <w:b/>
                <w:color w:val="FFFFFF" w:themeColor="background1"/>
                <w:sz w:val="14"/>
                <w:szCs w:val="14"/>
              </w:rPr>
              <w:t>Buchwert der unbelasteten Vermögenswerte</w:t>
            </w:r>
          </w:p>
        </w:tc>
        <w:tc>
          <w:tcPr>
            <w:tcW w:w="1984" w:type="dxa"/>
            <w:gridSpan w:val="2"/>
            <w:tcBorders>
              <w:bottom w:val="nil"/>
            </w:tcBorders>
            <w:shd w:val="clear" w:color="auto" w:fill="00B0F0"/>
          </w:tcPr>
          <w:p>
            <w:pPr>
              <w:pStyle w:val="Randziffer"/>
              <w:numPr>
                <w:ilvl w:val="0"/>
                <w:numId w:val="0"/>
              </w:numPr>
              <w:jc w:val="center"/>
              <w:rPr>
                <w:b/>
                <w:color w:val="FFFFFF" w:themeColor="background1"/>
                <w:sz w:val="14"/>
                <w:szCs w:val="14"/>
              </w:rPr>
            </w:pPr>
            <w:r>
              <w:rPr>
                <w:b/>
                <w:color w:val="FFFFFF" w:themeColor="background1"/>
                <w:sz w:val="14"/>
                <w:szCs w:val="14"/>
              </w:rPr>
              <w:t>Beizulegender Zeitwert der unbelasteten Vermögenswerte</w:t>
            </w:r>
          </w:p>
        </w:tc>
      </w:tr>
      <w:tr>
        <w:trPr>
          <w:cantSplit/>
          <w:trHeight w:val="2076"/>
        </w:trPr>
        <w:tc>
          <w:tcPr>
            <w:tcW w:w="1559" w:type="dxa"/>
            <w:vMerge/>
            <w:shd w:val="clear" w:color="auto" w:fill="00B0F0"/>
            <w:vAlign w:val="center"/>
          </w:tcPr>
          <w:p>
            <w:pPr>
              <w:pStyle w:val="Randziffer"/>
              <w:numPr>
                <w:ilvl w:val="0"/>
                <w:numId w:val="0"/>
              </w:numPr>
              <w:rPr>
                <w:b/>
                <w:color w:val="FFFFFF" w:themeColor="background1"/>
                <w:sz w:val="14"/>
                <w:szCs w:val="14"/>
              </w:rPr>
            </w:pPr>
          </w:p>
        </w:tc>
        <w:tc>
          <w:tcPr>
            <w:tcW w:w="992" w:type="dxa"/>
            <w:tcBorders>
              <w:top w:val="nil"/>
            </w:tcBorders>
            <w:shd w:val="clear" w:color="auto" w:fill="00B0F0"/>
          </w:tcPr>
          <w:p>
            <w:pPr>
              <w:pStyle w:val="Randziffer"/>
              <w:numPr>
                <w:ilvl w:val="0"/>
                <w:numId w:val="0"/>
              </w:numPr>
              <w:jc w:val="center"/>
              <w:rPr>
                <w:b/>
                <w:color w:val="FFFFFF" w:themeColor="background1"/>
                <w:sz w:val="14"/>
                <w:szCs w:val="14"/>
              </w:rPr>
            </w:pPr>
          </w:p>
        </w:tc>
        <w:tc>
          <w:tcPr>
            <w:tcW w:w="993" w:type="dxa"/>
            <w:tcBorders>
              <w:top w:val="single" w:sz="4" w:space="0" w:color="auto"/>
            </w:tcBorders>
            <w:shd w:val="clear" w:color="auto" w:fill="00B0F0"/>
            <w:textDirection w:val="tbRl"/>
          </w:tcPr>
          <w:p>
            <w:pPr>
              <w:pStyle w:val="Randziffer"/>
              <w:numPr>
                <w:ilvl w:val="0"/>
                <w:numId w:val="0"/>
              </w:numPr>
              <w:ind w:left="113" w:right="113"/>
              <w:jc w:val="left"/>
              <w:rPr>
                <w:b/>
                <w:color w:val="FFFFFF" w:themeColor="background1"/>
                <w:sz w:val="14"/>
                <w:szCs w:val="14"/>
              </w:rPr>
            </w:pPr>
            <w:r>
              <w:rPr>
                <w:b/>
                <w:color w:val="FFFFFF" w:themeColor="background1"/>
                <w:sz w:val="14"/>
                <w:szCs w:val="14"/>
              </w:rPr>
              <w:t>davon: Vermögenswerte, die unbelastet für eine Einstufung als EHQLA oder HQLA infrage kämen</w:t>
            </w:r>
          </w:p>
        </w:tc>
        <w:tc>
          <w:tcPr>
            <w:tcW w:w="850" w:type="dxa"/>
            <w:tcBorders>
              <w:top w:val="nil"/>
            </w:tcBorders>
            <w:shd w:val="clear" w:color="auto" w:fill="00B0F0"/>
          </w:tcPr>
          <w:p>
            <w:pPr>
              <w:pStyle w:val="Randziffer"/>
              <w:numPr>
                <w:ilvl w:val="0"/>
                <w:numId w:val="0"/>
              </w:numPr>
              <w:jc w:val="left"/>
              <w:rPr>
                <w:b/>
                <w:color w:val="FFFFFF" w:themeColor="background1"/>
                <w:sz w:val="14"/>
                <w:szCs w:val="14"/>
              </w:rPr>
            </w:pPr>
          </w:p>
        </w:tc>
        <w:tc>
          <w:tcPr>
            <w:tcW w:w="992" w:type="dxa"/>
            <w:tcBorders>
              <w:top w:val="single" w:sz="4" w:space="0" w:color="auto"/>
            </w:tcBorders>
            <w:shd w:val="clear" w:color="auto" w:fill="00B0F0"/>
            <w:textDirection w:val="tbRl"/>
          </w:tcPr>
          <w:p>
            <w:pPr>
              <w:pStyle w:val="Randziffer"/>
              <w:numPr>
                <w:ilvl w:val="0"/>
                <w:numId w:val="0"/>
              </w:numPr>
              <w:ind w:left="113" w:right="113"/>
              <w:jc w:val="left"/>
              <w:rPr>
                <w:b/>
                <w:color w:val="FFFFFF" w:themeColor="background1"/>
                <w:sz w:val="14"/>
                <w:szCs w:val="14"/>
              </w:rPr>
            </w:pPr>
            <w:r>
              <w:rPr>
                <w:b/>
                <w:color w:val="FFFFFF" w:themeColor="background1"/>
                <w:sz w:val="14"/>
                <w:szCs w:val="14"/>
              </w:rPr>
              <w:t>davon: Vermögenswerte, die unbelastet für eine Einstufung als EHQLA oder HQLA infrage kämen</w:t>
            </w:r>
          </w:p>
        </w:tc>
        <w:tc>
          <w:tcPr>
            <w:tcW w:w="993" w:type="dxa"/>
            <w:tcBorders>
              <w:top w:val="nil"/>
            </w:tcBorders>
            <w:shd w:val="clear" w:color="auto" w:fill="00B0F0"/>
          </w:tcPr>
          <w:p>
            <w:pPr>
              <w:pStyle w:val="Randziffer"/>
              <w:numPr>
                <w:ilvl w:val="0"/>
                <w:numId w:val="0"/>
              </w:numPr>
              <w:jc w:val="left"/>
              <w:rPr>
                <w:b/>
                <w:color w:val="FFFFFF" w:themeColor="background1"/>
                <w:sz w:val="14"/>
                <w:szCs w:val="14"/>
              </w:rPr>
            </w:pPr>
          </w:p>
        </w:tc>
        <w:tc>
          <w:tcPr>
            <w:tcW w:w="992" w:type="dxa"/>
            <w:tcBorders>
              <w:top w:val="single" w:sz="4" w:space="0" w:color="auto"/>
            </w:tcBorders>
            <w:shd w:val="clear" w:color="auto" w:fill="00B0F0"/>
            <w:textDirection w:val="tbRl"/>
          </w:tcPr>
          <w:p>
            <w:pPr>
              <w:pStyle w:val="Randziffer"/>
              <w:numPr>
                <w:ilvl w:val="0"/>
                <w:numId w:val="0"/>
              </w:numPr>
              <w:ind w:left="113" w:right="113"/>
              <w:jc w:val="left"/>
              <w:rPr>
                <w:b/>
                <w:color w:val="FFFFFF" w:themeColor="background1"/>
                <w:sz w:val="14"/>
                <w:szCs w:val="14"/>
              </w:rPr>
            </w:pPr>
            <w:r>
              <w:rPr>
                <w:b/>
                <w:color w:val="FFFFFF" w:themeColor="background1"/>
                <w:sz w:val="14"/>
                <w:szCs w:val="14"/>
              </w:rPr>
              <w:t>davon: EHQLA und HQLA</w:t>
            </w:r>
          </w:p>
        </w:tc>
        <w:tc>
          <w:tcPr>
            <w:tcW w:w="992" w:type="dxa"/>
            <w:tcBorders>
              <w:top w:val="nil"/>
            </w:tcBorders>
            <w:shd w:val="clear" w:color="auto" w:fill="00B0F0"/>
          </w:tcPr>
          <w:p>
            <w:pPr>
              <w:pStyle w:val="Randziffer"/>
              <w:numPr>
                <w:ilvl w:val="0"/>
                <w:numId w:val="0"/>
              </w:numPr>
              <w:jc w:val="left"/>
              <w:rPr>
                <w:b/>
                <w:color w:val="FFFFFF" w:themeColor="background1"/>
                <w:sz w:val="14"/>
                <w:szCs w:val="14"/>
              </w:rPr>
            </w:pPr>
          </w:p>
        </w:tc>
        <w:tc>
          <w:tcPr>
            <w:tcW w:w="992" w:type="dxa"/>
            <w:tcBorders>
              <w:top w:val="single" w:sz="4" w:space="0" w:color="auto"/>
            </w:tcBorders>
            <w:shd w:val="clear" w:color="auto" w:fill="00B0F0"/>
            <w:textDirection w:val="tbRl"/>
          </w:tcPr>
          <w:p>
            <w:pPr>
              <w:pStyle w:val="Randziffer"/>
              <w:numPr>
                <w:ilvl w:val="0"/>
                <w:numId w:val="0"/>
              </w:numPr>
              <w:ind w:left="113" w:right="113"/>
              <w:jc w:val="left"/>
              <w:rPr>
                <w:b/>
                <w:color w:val="FFFFFF" w:themeColor="background1"/>
                <w:sz w:val="14"/>
                <w:szCs w:val="14"/>
              </w:rPr>
            </w:pPr>
            <w:r>
              <w:rPr>
                <w:b/>
                <w:color w:val="FFFFFF" w:themeColor="background1"/>
                <w:sz w:val="14"/>
                <w:szCs w:val="14"/>
              </w:rPr>
              <w:t>davon: EHQLA und HQLA</w:t>
            </w:r>
          </w:p>
        </w:tc>
      </w:tr>
      <w:tr>
        <w:trPr>
          <w:trHeight w:val="323"/>
        </w:trPr>
        <w:tc>
          <w:tcPr>
            <w:tcW w:w="1559" w:type="dxa"/>
          </w:tcPr>
          <w:p>
            <w:pPr>
              <w:pStyle w:val="Randziffer"/>
              <w:numPr>
                <w:ilvl w:val="0"/>
                <w:numId w:val="0"/>
              </w:numPr>
              <w:jc w:val="left"/>
              <w:rPr>
                <w:b/>
                <w:sz w:val="14"/>
                <w:szCs w:val="14"/>
              </w:rPr>
            </w:pPr>
            <w:r>
              <w:rPr>
                <w:b/>
                <w:sz w:val="14"/>
                <w:szCs w:val="14"/>
              </w:rPr>
              <w:t>Vermögenswerte des berichtenden Instituts</w:t>
            </w:r>
          </w:p>
        </w:tc>
        <w:tc>
          <w:tcPr>
            <w:tcW w:w="992" w:type="dxa"/>
            <w:vAlign w:val="center"/>
          </w:tcPr>
          <w:p>
            <w:pPr>
              <w:pStyle w:val="Randziffer"/>
              <w:numPr>
                <w:ilvl w:val="0"/>
                <w:numId w:val="0"/>
              </w:numPr>
              <w:ind w:right="170"/>
              <w:jc w:val="right"/>
              <w:rPr>
                <w:sz w:val="14"/>
                <w:szCs w:val="14"/>
              </w:rPr>
            </w:pPr>
            <w:r>
              <w:rPr>
                <w:sz w:val="14"/>
                <w:szCs w:val="14"/>
              </w:rPr>
              <w:t>149.238</w:t>
            </w:r>
          </w:p>
        </w:tc>
        <w:tc>
          <w:tcPr>
            <w:tcW w:w="993" w:type="dxa"/>
            <w:shd w:val="clear" w:color="auto" w:fill="auto"/>
            <w:vAlign w:val="center"/>
          </w:tcPr>
          <w:p>
            <w:pPr>
              <w:pStyle w:val="Randziffer"/>
              <w:numPr>
                <w:ilvl w:val="0"/>
                <w:numId w:val="0"/>
              </w:numPr>
              <w:ind w:right="170"/>
              <w:jc w:val="right"/>
              <w:rPr>
                <w:sz w:val="14"/>
                <w:szCs w:val="14"/>
              </w:rPr>
            </w:pPr>
            <w:r>
              <w:rPr>
                <w:sz w:val="14"/>
                <w:szCs w:val="14"/>
              </w:rPr>
              <w:t>19.948</w:t>
            </w:r>
          </w:p>
        </w:tc>
        <w:tc>
          <w:tcPr>
            <w:tcW w:w="850" w:type="dxa"/>
            <w:shd w:val="clear" w:color="auto" w:fill="D9D9D9" w:themeFill="background1" w:themeFillShade="D9"/>
            <w:vAlign w:val="center"/>
          </w:tcPr>
          <w:p>
            <w:pPr>
              <w:pStyle w:val="Randziffer"/>
              <w:numPr>
                <w:ilvl w:val="0"/>
                <w:numId w:val="0"/>
              </w:numPr>
              <w:ind w:right="170"/>
              <w:jc w:val="right"/>
              <w:rPr>
                <w:sz w:val="14"/>
                <w:szCs w:val="14"/>
              </w:rPr>
            </w:pPr>
          </w:p>
        </w:tc>
        <w:tc>
          <w:tcPr>
            <w:tcW w:w="992" w:type="dxa"/>
            <w:shd w:val="clear" w:color="auto" w:fill="D9D9D9" w:themeFill="background1" w:themeFillShade="D9"/>
            <w:vAlign w:val="center"/>
          </w:tcPr>
          <w:p>
            <w:pPr>
              <w:pStyle w:val="Randziffer"/>
              <w:numPr>
                <w:ilvl w:val="0"/>
                <w:numId w:val="0"/>
              </w:numPr>
              <w:ind w:right="170"/>
              <w:jc w:val="right"/>
              <w:rPr>
                <w:sz w:val="14"/>
                <w:szCs w:val="14"/>
              </w:rPr>
            </w:pPr>
          </w:p>
        </w:tc>
        <w:tc>
          <w:tcPr>
            <w:tcW w:w="993" w:type="dxa"/>
            <w:vAlign w:val="center"/>
          </w:tcPr>
          <w:p>
            <w:pPr>
              <w:pStyle w:val="Randziffer"/>
              <w:numPr>
                <w:ilvl w:val="0"/>
                <w:numId w:val="0"/>
              </w:numPr>
              <w:ind w:right="170"/>
              <w:jc w:val="right"/>
              <w:rPr>
                <w:sz w:val="14"/>
                <w:szCs w:val="14"/>
              </w:rPr>
            </w:pPr>
            <w:r>
              <w:rPr>
                <w:sz w:val="14"/>
                <w:szCs w:val="14"/>
              </w:rPr>
              <w:t>547.730</w:t>
            </w:r>
          </w:p>
        </w:tc>
        <w:tc>
          <w:tcPr>
            <w:tcW w:w="992" w:type="dxa"/>
            <w:shd w:val="clear" w:color="auto" w:fill="auto"/>
            <w:vAlign w:val="center"/>
          </w:tcPr>
          <w:p>
            <w:pPr>
              <w:pStyle w:val="Randziffer"/>
              <w:numPr>
                <w:ilvl w:val="0"/>
                <w:numId w:val="0"/>
              </w:numPr>
              <w:ind w:right="170"/>
              <w:jc w:val="right"/>
              <w:rPr>
                <w:sz w:val="14"/>
                <w:szCs w:val="14"/>
              </w:rPr>
            </w:pPr>
            <w:r>
              <w:rPr>
                <w:sz w:val="14"/>
                <w:szCs w:val="14"/>
              </w:rPr>
              <w:t>50.913</w:t>
            </w:r>
          </w:p>
        </w:tc>
        <w:tc>
          <w:tcPr>
            <w:tcW w:w="992" w:type="dxa"/>
            <w:shd w:val="clear" w:color="auto" w:fill="D9D9D9" w:themeFill="background1" w:themeFillShade="D9"/>
            <w:vAlign w:val="center"/>
          </w:tcPr>
          <w:p>
            <w:pPr>
              <w:pStyle w:val="Randziffer"/>
              <w:numPr>
                <w:ilvl w:val="0"/>
                <w:numId w:val="0"/>
              </w:numPr>
              <w:ind w:right="170"/>
              <w:jc w:val="right"/>
              <w:rPr>
                <w:sz w:val="14"/>
                <w:szCs w:val="14"/>
              </w:rPr>
            </w:pPr>
          </w:p>
        </w:tc>
        <w:tc>
          <w:tcPr>
            <w:tcW w:w="992" w:type="dxa"/>
            <w:shd w:val="clear" w:color="auto" w:fill="D9D9D9" w:themeFill="background1" w:themeFillShade="D9"/>
            <w:vAlign w:val="center"/>
          </w:tcPr>
          <w:p>
            <w:pPr>
              <w:pStyle w:val="Randziffer"/>
              <w:numPr>
                <w:ilvl w:val="0"/>
                <w:numId w:val="0"/>
              </w:numPr>
              <w:ind w:right="170"/>
              <w:jc w:val="right"/>
              <w:rPr>
                <w:sz w:val="14"/>
                <w:szCs w:val="14"/>
              </w:rPr>
            </w:pPr>
          </w:p>
        </w:tc>
      </w:tr>
      <w:tr>
        <w:trPr>
          <w:trHeight w:val="217"/>
        </w:trPr>
        <w:tc>
          <w:tcPr>
            <w:tcW w:w="1559" w:type="dxa"/>
          </w:tcPr>
          <w:p>
            <w:pPr>
              <w:pStyle w:val="Randziffer"/>
              <w:numPr>
                <w:ilvl w:val="0"/>
                <w:numId w:val="0"/>
              </w:numPr>
              <w:jc w:val="left"/>
              <w:rPr>
                <w:sz w:val="14"/>
                <w:szCs w:val="14"/>
              </w:rPr>
            </w:pPr>
            <w:r>
              <w:rPr>
                <w:sz w:val="14"/>
                <w:szCs w:val="14"/>
              </w:rPr>
              <w:t>Aktieninstrumente</w:t>
            </w:r>
          </w:p>
        </w:tc>
        <w:tc>
          <w:tcPr>
            <w:tcW w:w="992" w:type="dxa"/>
            <w:vAlign w:val="center"/>
          </w:tcPr>
          <w:p>
            <w:pPr>
              <w:pStyle w:val="Randziffer"/>
              <w:numPr>
                <w:ilvl w:val="0"/>
                <w:numId w:val="0"/>
              </w:numPr>
              <w:ind w:right="170"/>
              <w:jc w:val="right"/>
              <w:rPr>
                <w:sz w:val="14"/>
                <w:szCs w:val="14"/>
              </w:rPr>
            </w:pPr>
            <w:r>
              <w:rPr>
                <w:sz w:val="14"/>
                <w:szCs w:val="14"/>
              </w:rPr>
              <w:t>0</w:t>
            </w:r>
          </w:p>
        </w:tc>
        <w:tc>
          <w:tcPr>
            <w:tcW w:w="993" w:type="dxa"/>
            <w:vAlign w:val="center"/>
          </w:tcPr>
          <w:p>
            <w:pPr>
              <w:pStyle w:val="Randziffer"/>
              <w:numPr>
                <w:ilvl w:val="0"/>
                <w:numId w:val="0"/>
              </w:numPr>
              <w:ind w:right="170"/>
              <w:jc w:val="right"/>
              <w:rPr>
                <w:sz w:val="14"/>
                <w:szCs w:val="14"/>
              </w:rPr>
            </w:pPr>
            <w:r>
              <w:rPr>
                <w:sz w:val="14"/>
                <w:szCs w:val="14"/>
              </w:rPr>
              <w:t>0</w:t>
            </w:r>
          </w:p>
        </w:tc>
        <w:tc>
          <w:tcPr>
            <w:tcW w:w="850" w:type="dxa"/>
            <w:shd w:val="clear" w:color="auto" w:fill="D9D9D9" w:themeFill="background1" w:themeFillShade="D9"/>
            <w:vAlign w:val="center"/>
          </w:tcPr>
          <w:p>
            <w:pPr>
              <w:pStyle w:val="Randziffer"/>
              <w:numPr>
                <w:ilvl w:val="0"/>
                <w:numId w:val="0"/>
              </w:numPr>
              <w:ind w:right="170"/>
              <w:jc w:val="right"/>
              <w:rPr>
                <w:sz w:val="14"/>
                <w:szCs w:val="14"/>
              </w:rPr>
            </w:pPr>
          </w:p>
        </w:tc>
        <w:tc>
          <w:tcPr>
            <w:tcW w:w="992" w:type="dxa"/>
            <w:shd w:val="clear" w:color="auto" w:fill="D9D9D9" w:themeFill="background1" w:themeFillShade="D9"/>
            <w:vAlign w:val="center"/>
          </w:tcPr>
          <w:p>
            <w:pPr>
              <w:pStyle w:val="Randziffer"/>
              <w:numPr>
                <w:ilvl w:val="0"/>
                <w:numId w:val="0"/>
              </w:numPr>
              <w:ind w:right="170"/>
              <w:jc w:val="right"/>
              <w:rPr>
                <w:sz w:val="14"/>
                <w:szCs w:val="14"/>
              </w:rPr>
            </w:pPr>
          </w:p>
        </w:tc>
        <w:tc>
          <w:tcPr>
            <w:tcW w:w="993" w:type="dxa"/>
            <w:vAlign w:val="center"/>
          </w:tcPr>
          <w:p>
            <w:pPr>
              <w:pStyle w:val="Randziffer"/>
              <w:numPr>
                <w:ilvl w:val="0"/>
                <w:numId w:val="0"/>
              </w:numPr>
              <w:ind w:right="170"/>
              <w:jc w:val="right"/>
              <w:rPr>
                <w:sz w:val="14"/>
                <w:szCs w:val="14"/>
              </w:rPr>
            </w:pPr>
            <w:r>
              <w:rPr>
                <w:sz w:val="14"/>
                <w:szCs w:val="14"/>
              </w:rPr>
              <w:t>36.012</w:t>
            </w:r>
          </w:p>
        </w:tc>
        <w:tc>
          <w:tcPr>
            <w:tcW w:w="992" w:type="dxa"/>
            <w:vAlign w:val="center"/>
          </w:tcPr>
          <w:p>
            <w:pPr>
              <w:pStyle w:val="Randziffer"/>
              <w:numPr>
                <w:ilvl w:val="0"/>
                <w:numId w:val="0"/>
              </w:numPr>
              <w:ind w:right="170"/>
              <w:jc w:val="right"/>
              <w:rPr>
                <w:sz w:val="14"/>
                <w:szCs w:val="14"/>
              </w:rPr>
            </w:pPr>
            <w:r>
              <w:rPr>
                <w:sz w:val="14"/>
                <w:szCs w:val="14"/>
              </w:rPr>
              <w:t>0</w:t>
            </w:r>
          </w:p>
        </w:tc>
        <w:tc>
          <w:tcPr>
            <w:tcW w:w="992" w:type="dxa"/>
            <w:shd w:val="clear" w:color="auto" w:fill="D9D9D9" w:themeFill="background1" w:themeFillShade="D9"/>
            <w:vAlign w:val="center"/>
          </w:tcPr>
          <w:p>
            <w:pPr>
              <w:pStyle w:val="Randziffer"/>
              <w:numPr>
                <w:ilvl w:val="0"/>
                <w:numId w:val="0"/>
              </w:numPr>
              <w:ind w:right="170"/>
              <w:jc w:val="right"/>
              <w:rPr>
                <w:sz w:val="14"/>
                <w:szCs w:val="14"/>
              </w:rPr>
            </w:pPr>
          </w:p>
        </w:tc>
        <w:tc>
          <w:tcPr>
            <w:tcW w:w="992" w:type="dxa"/>
            <w:shd w:val="clear" w:color="auto" w:fill="D9D9D9" w:themeFill="background1" w:themeFillShade="D9"/>
            <w:vAlign w:val="center"/>
          </w:tcPr>
          <w:p>
            <w:pPr>
              <w:pStyle w:val="Randziffer"/>
              <w:numPr>
                <w:ilvl w:val="0"/>
                <w:numId w:val="0"/>
              </w:numPr>
              <w:ind w:right="170"/>
              <w:jc w:val="right"/>
              <w:rPr>
                <w:sz w:val="14"/>
                <w:szCs w:val="14"/>
              </w:rPr>
            </w:pPr>
          </w:p>
        </w:tc>
      </w:tr>
      <w:tr>
        <w:trPr>
          <w:trHeight w:val="224"/>
        </w:trPr>
        <w:tc>
          <w:tcPr>
            <w:tcW w:w="1559" w:type="dxa"/>
          </w:tcPr>
          <w:p>
            <w:pPr>
              <w:pStyle w:val="Randziffer"/>
              <w:numPr>
                <w:ilvl w:val="0"/>
                <w:numId w:val="0"/>
              </w:numPr>
              <w:jc w:val="left"/>
              <w:rPr>
                <w:sz w:val="14"/>
                <w:szCs w:val="14"/>
              </w:rPr>
            </w:pPr>
            <w:r>
              <w:rPr>
                <w:sz w:val="14"/>
                <w:szCs w:val="14"/>
              </w:rPr>
              <w:t>Schuldverschreibungen</w:t>
            </w:r>
          </w:p>
        </w:tc>
        <w:tc>
          <w:tcPr>
            <w:tcW w:w="992" w:type="dxa"/>
            <w:vAlign w:val="center"/>
          </w:tcPr>
          <w:p>
            <w:pPr>
              <w:pStyle w:val="Randziffer"/>
              <w:numPr>
                <w:ilvl w:val="0"/>
                <w:numId w:val="0"/>
              </w:numPr>
              <w:ind w:right="170"/>
              <w:jc w:val="right"/>
              <w:rPr>
                <w:sz w:val="14"/>
                <w:szCs w:val="14"/>
              </w:rPr>
            </w:pPr>
            <w:r>
              <w:rPr>
                <w:sz w:val="14"/>
                <w:szCs w:val="14"/>
              </w:rPr>
              <w:t>19.948</w:t>
            </w:r>
          </w:p>
        </w:tc>
        <w:tc>
          <w:tcPr>
            <w:tcW w:w="993" w:type="dxa"/>
            <w:vAlign w:val="center"/>
          </w:tcPr>
          <w:p>
            <w:pPr>
              <w:pStyle w:val="Randziffer"/>
              <w:numPr>
                <w:ilvl w:val="0"/>
                <w:numId w:val="0"/>
              </w:numPr>
              <w:ind w:right="170"/>
              <w:jc w:val="right"/>
              <w:rPr>
                <w:sz w:val="14"/>
                <w:szCs w:val="14"/>
              </w:rPr>
            </w:pPr>
            <w:r>
              <w:rPr>
                <w:sz w:val="14"/>
                <w:szCs w:val="14"/>
              </w:rPr>
              <w:t>19.948</w:t>
            </w:r>
          </w:p>
        </w:tc>
        <w:tc>
          <w:tcPr>
            <w:tcW w:w="850" w:type="dxa"/>
            <w:vAlign w:val="center"/>
          </w:tcPr>
          <w:p>
            <w:pPr>
              <w:pStyle w:val="Randziffer"/>
              <w:numPr>
                <w:ilvl w:val="0"/>
                <w:numId w:val="0"/>
              </w:numPr>
              <w:ind w:right="170"/>
              <w:jc w:val="right"/>
              <w:rPr>
                <w:sz w:val="14"/>
                <w:szCs w:val="14"/>
              </w:rPr>
            </w:pPr>
            <w:r>
              <w:rPr>
                <w:sz w:val="14"/>
                <w:szCs w:val="14"/>
              </w:rPr>
              <w:t>20.238</w:t>
            </w:r>
          </w:p>
        </w:tc>
        <w:tc>
          <w:tcPr>
            <w:tcW w:w="992" w:type="dxa"/>
            <w:vAlign w:val="center"/>
          </w:tcPr>
          <w:p>
            <w:pPr>
              <w:pStyle w:val="Randziffer"/>
              <w:numPr>
                <w:ilvl w:val="0"/>
                <w:numId w:val="0"/>
              </w:numPr>
              <w:ind w:right="170"/>
              <w:jc w:val="right"/>
              <w:rPr>
                <w:sz w:val="14"/>
                <w:szCs w:val="14"/>
              </w:rPr>
            </w:pPr>
            <w:r>
              <w:rPr>
                <w:sz w:val="14"/>
                <w:szCs w:val="14"/>
              </w:rPr>
              <w:t>20.238</w:t>
            </w:r>
          </w:p>
        </w:tc>
        <w:tc>
          <w:tcPr>
            <w:tcW w:w="993" w:type="dxa"/>
            <w:vAlign w:val="center"/>
          </w:tcPr>
          <w:p>
            <w:pPr>
              <w:pStyle w:val="Randziffer"/>
              <w:numPr>
                <w:ilvl w:val="0"/>
                <w:numId w:val="0"/>
              </w:numPr>
              <w:ind w:right="170"/>
              <w:jc w:val="right"/>
              <w:rPr>
                <w:sz w:val="14"/>
                <w:szCs w:val="14"/>
              </w:rPr>
            </w:pPr>
            <w:r>
              <w:rPr>
                <w:sz w:val="14"/>
                <w:szCs w:val="14"/>
              </w:rPr>
              <w:t>61.114</w:t>
            </w:r>
          </w:p>
        </w:tc>
        <w:tc>
          <w:tcPr>
            <w:tcW w:w="992" w:type="dxa"/>
            <w:vAlign w:val="center"/>
          </w:tcPr>
          <w:p>
            <w:pPr>
              <w:pStyle w:val="Randziffer"/>
              <w:numPr>
                <w:ilvl w:val="0"/>
                <w:numId w:val="0"/>
              </w:numPr>
              <w:ind w:right="170"/>
              <w:jc w:val="right"/>
              <w:rPr>
                <w:sz w:val="14"/>
                <w:szCs w:val="14"/>
              </w:rPr>
            </w:pPr>
            <w:r>
              <w:rPr>
                <w:sz w:val="14"/>
                <w:szCs w:val="14"/>
              </w:rPr>
              <w:t>39.413</w:t>
            </w:r>
          </w:p>
        </w:tc>
        <w:tc>
          <w:tcPr>
            <w:tcW w:w="992" w:type="dxa"/>
            <w:vAlign w:val="center"/>
          </w:tcPr>
          <w:p>
            <w:pPr>
              <w:pStyle w:val="Randziffer"/>
              <w:numPr>
                <w:ilvl w:val="0"/>
                <w:numId w:val="0"/>
              </w:numPr>
              <w:ind w:right="170"/>
              <w:jc w:val="right"/>
              <w:rPr>
                <w:sz w:val="14"/>
                <w:szCs w:val="14"/>
              </w:rPr>
            </w:pPr>
            <w:r>
              <w:rPr>
                <w:sz w:val="14"/>
                <w:szCs w:val="14"/>
              </w:rPr>
              <w:t>65.123</w:t>
            </w:r>
          </w:p>
        </w:tc>
        <w:tc>
          <w:tcPr>
            <w:tcW w:w="992" w:type="dxa"/>
            <w:vAlign w:val="center"/>
          </w:tcPr>
          <w:p>
            <w:pPr>
              <w:pStyle w:val="Randziffer"/>
              <w:numPr>
                <w:ilvl w:val="0"/>
                <w:numId w:val="0"/>
              </w:numPr>
              <w:ind w:right="170"/>
              <w:jc w:val="right"/>
              <w:rPr>
                <w:sz w:val="14"/>
                <w:szCs w:val="14"/>
              </w:rPr>
            </w:pPr>
            <w:r>
              <w:rPr>
                <w:sz w:val="14"/>
                <w:szCs w:val="14"/>
              </w:rPr>
              <w:t>43.303</w:t>
            </w:r>
          </w:p>
        </w:tc>
      </w:tr>
      <w:tr>
        <w:trPr>
          <w:trHeight w:val="224"/>
        </w:trPr>
        <w:tc>
          <w:tcPr>
            <w:tcW w:w="1559" w:type="dxa"/>
          </w:tcPr>
          <w:p>
            <w:pPr>
              <w:pStyle w:val="Randziffer"/>
              <w:numPr>
                <w:ilvl w:val="0"/>
                <w:numId w:val="0"/>
              </w:numPr>
              <w:spacing w:before="60" w:after="60"/>
              <w:jc w:val="left"/>
              <w:rPr>
                <w:sz w:val="14"/>
                <w:szCs w:val="14"/>
              </w:rPr>
            </w:pPr>
            <w:r>
              <w:rPr>
                <w:sz w:val="14"/>
                <w:szCs w:val="14"/>
              </w:rPr>
              <w:t xml:space="preserve">davon: </w:t>
            </w:r>
          </w:p>
          <w:p>
            <w:pPr>
              <w:pStyle w:val="Randziffer"/>
              <w:numPr>
                <w:ilvl w:val="0"/>
                <w:numId w:val="0"/>
              </w:numPr>
              <w:spacing w:before="60" w:after="60"/>
              <w:jc w:val="left"/>
              <w:rPr>
                <w:sz w:val="14"/>
                <w:szCs w:val="14"/>
              </w:rPr>
            </w:pPr>
            <w:r>
              <w:rPr>
                <w:sz w:val="14"/>
                <w:szCs w:val="14"/>
              </w:rPr>
              <w:t>gedeckte Schuldverschreibungen</w:t>
            </w:r>
          </w:p>
        </w:tc>
        <w:tc>
          <w:tcPr>
            <w:tcW w:w="992" w:type="dxa"/>
            <w:vAlign w:val="center"/>
          </w:tcPr>
          <w:p>
            <w:pPr>
              <w:pStyle w:val="Randziffer"/>
              <w:numPr>
                <w:ilvl w:val="0"/>
                <w:numId w:val="0"/>
              </w:numPr>
              <w:ind w:right="170"/>
              <w:jc w:val="right"/>
              <w:rPr>
                <w:sz w:val="14"/>
                <w:szCs w:val="14"/>
              </w:rPr>
            </w:pPr>
            <w:r>
              <w:rPr>
                <w:sz w:val="14"/>
                <w:szCs w:val="14"/>
              </w:rPr>
              <w:t>911</w:t>
            </w:r>
          </w:p>
        </w:tc>
        <w:tc>
          <w:tcPr>
            <w:tcW w:w="993" w:type="dxa"/>
            <w:vAlign w:val="center"/>
          </w:tcPr>
          <w:p>
            <w:pPr>
              <w:pStyle w:val="Randziffer"/>
              <w:numPr>
                <w:ilvl w:val="0"/>
                <w:numId w:val="0"/>
              </w:numPr>
              <w:ind w:right="170"/>
              <w:jc w:val="right"/>
              <w:rPr>
                <w:sz w:val="14"/>
                <w:szCs w:val="14"/>
              </w:rPr>
            </w:pPr>
            <w:r>
              <w:rPr>
                <w:sz w:val="14"/>
                <w:szCs w:val="14"/>
              </w:rPr>
              <w:t>911</w:t>
            </w:r>
          </w:p>
        </w:tc>
        <w:tc>
          <w:tcPr>
            <w:tcW w:w="850" w:type="dxa"/>
            <w:vAlign w:val="center"/>
          </w:tcPr>
          <w:p>
            <w:pPr>
              <w:pStyle w:val="Randziffer"/>
              <w:numPr>
                <w:ilvl w:val="0"/>
                <w:numId w:val="0"/>
              </w:numPr>
              <w:ind w:right="170"/>
              <w:jc w:val="right"/>
              <w:rPr>
                <w:sz w:val="14"/>
                <w:szCs w:val="14"/>
              </w:rPr>
            </w:pPr>
            <w:r>
              <w:rPr>
                <w:sz w:val="14"/>
                <w:szCs w:val="14"/>
              </w:rPr>
              <w:t>908</w:t>
            </w:r>
          </w:p>
        </w:tc>
        <w:tc>
          <w:tcPr>
            <w:tcW w:w="992" w:type="dxa"/>
            <w:vAlign w:val="center"/>
          </w:tcPr>
          <w:p>
            <w:pPr>
              <w:pStyle w:val="Randziffer"/>
              <w:numPr>
                <w:ilvl w:val="0"/>
                <w:numId w:val="0"/>
              </w:numPr>
              <w:ind w:right="170"/>
              <w:jc w:val="right"/>
              <w:rPr>
                <w:sz w:val="14"/>
                <w:szCs w:val="14"/>
              </w:rPr>
            </w:pPr>
            <w:r>
              <w:rPr>
                <w:sz w:val="14"/>
                <w:szCs w:val="14"/>
              </w:rPr>
              <w:t>908</w:t>
            </w:r>
          </w:p>
        </w:tc>
        <w:tc>
          <w:tcPr>
            <w:tcW w:w="993" w:type="dxa"/>
            <w:vAlign w:val="center"/>
          </w:tcPr>
          <w:p>
            <w:pPr>
              <w:pStyle w:val="Randziffer"/>
              <w:numPr>
                <w:ilvl w:val="0"/>
                <w:numId w:val="0"/>
              </w:numPr>
              <w:ind w:right="170"/>
              <w:jc w:val="right"/>
              <w:rPr>
                <w:sz w:val="14"/>
                <w:szCs w:val="14"/>
              </w:rPr>
            </w:pPr>
            <w:r>
              <w:rPr>
                <w:sz w:val="14"/>
                <w:szCs w:val="14"/>
              </w:rPr>
              <w:t>10.349</w:t>
            </w:r>
          </w:p>
        </w:tc>
        <w:tc>
          <w:tcPr>
            <w:tcW w:w="992" w:type="dxa"/>
            <w:vAlign w:val="center"/>
          </w:tcPr>
          <w:p>
            <w:pPr>
              <w:pStyle w:val="Randziffer"/>
              <w:numPr>
                <w:ilvl w:val="0"/>
                <w:numId w:val="0"/>
              </w:numPr>
              <w:ind w:right="170"/>
              <w:jc w:val="right"/>
              <w:rPr>
                <w:sz w:val="14"/>
                <w:szCs w:val="14"/>
              </w:rPr>
            </w:pPr>
            <w:r>
              <w:rPr>
                <w:sz w:val="14"/>
                <w:szCs w:val="14"/>
              </w:rPr>
              <w:t>9.354</w:t>
            </w:r>
          </w:p>
        </w:tc>
        <w:tc>
          <w:tcPr>
            <w:tcW w:w="992" w:type="dxa"/>
            <w:vAlign w:val="center"/>
          </w:tcPr>
          <w:p>
            <w:pPr>
              <w:pStyle w:val="Randziffer"/>
              <w:numPr>
                <w:ilvl w:val="0"/>
                <w:numId w:val="0"/>
              </w:numPr>
              <w:ind w:right="170"/>
              <w:jc w:val="right"/>
              <w:rPr>
                <w:sz w:val="14"/>
                <w:szCs w:val="14"/>
              </w:rPr>
            </w:pPr>
            <w:r>
              <w:rPr>
                <w:sz w:val="14"/>
                <w:szCs w:val="14"/>
              </w:rPr>
              <w:t>10.753</w:t>
            </w:r>
          </w:p>
        </w:tc>
        <w:tc>
          <w:tcPr>
            <w:tcW w:w="992" w:type="dxa"/>
            <w:vAlign w:val="center"/>
          </w:tcPr>
          <w:p>
            <w:pPr>
              <w:pStyle w:val="Randziffer"/>
              <w:numPr>
                <w:ilvl w:val="0"/>
                <w:numId w:val="0"/>
              </w:numPr>
              <w:ind w:right="170"/>
              <w:jc w:val="right"/>
              <w:rPr>
                <w:sz w:val="14"/>
                <w:szCs w:val="14"/>
              </w:rPr>
            </w:pPr>
            <w:r>
              <w:rPr>
                <w:sz w:val="14"/>
                <w:szCs w:val="14"/>
              </w:rPr>
              <w:t>9.720</w:t>
            </w:r>
          </w:p>
        </w:tc>
      </w:tr>
      <w:tr>
        <w:trPr>
          <w:trHeight w:val="224"/>
        </w:trPr>
        <w:tc>
          <w:tcPr>
            <w:tcW w:w="1559" w:type="dxa"/>
          </w:tcPr>
          <w:p>
            <w:pPr>
              <w:pStyle w:val="Randziffer"/>
              <w:numPr>
                <w:ilvl w:val="0"/>
                <w:numId w:val="0"/>
              </w:numPr>
              <w:spacing w:before="60" w:after="60"/>
              <w:jc w:val="left"/>
              <w:rPr>
                <w:sz w:val="14"/>
                <w:szCs w:val="14"/>
              </w:rPr>
            </w:pPr>
            <w:r>
              <w:rPr>
                <w:sz w:val="14"/>
                <w:szCs w:val="14"/>
              </w:rPr>
              <w:t xml:space="preserve">davon: </w:t>
            </w:r>
          </w:p>
          <w:p>
            <w:pPr>
              <w:pStyle w:val="Randziffer"/>
              <w:numPr>
                <w:ilvl w:val="0"/>
                <w:numId w:val="0"/>
              </w:numPr>
              <w:spacing w:before="60" w:after="60"/>
              <w:jc w:val="left"/>
              <w:rPr>
                <w:sz w:val="14"/>
                <w:szCs w:val="14"/>
              </w:rPr>
            </w:pPr>
            <w:r>
              <w:rPr>
                <w:sz w:val="14"/>
                <w:szCs w:val="14"/>
              </w:rPr>
              <w:t>von Staaten begeben</w:t>
            </w:r>
          </w:p>
        </w:tc>
        <w:tc>
          <w:tcPr>
            <w:tcW w:w="992" w:type="dxa"/>
            <w:vAlign w:val="center"/>
          </w:tcPr>
          <w:p>
            <w:pPr>
              <w:pStyle w:val="Randziffer"/>
              <w:numPr>
                <w:ilvl w:val="0"/>
                <w:numId w:val="0"/>
              </w:numPr>
              <w:ind w:right="170"/>
              <w:jc w:val="right"/>
              <w:rPr>
                <w:sz w:val="14"/>
                <w:szCs w:val="14"/>
              </w:rPr>
            </w:pPr>
            <w:r>
              <w:rPr>
                <w:sz w:val="14"/>
                <w:szCs w:val="14"/>
              </w:rPr>
              <w:t>989</w:t>
            </w:r>
          </w:p>
        </w:tc>
        <w:tc>
          <w:tcPr>
            <w:tcW w:w="993" w:type="dxa"/>
            <w:vAlign w:val="center"/>
          </w:tcPr>
          <w:p>
            <w:pPr>
              <w:pStyle w:val="Randziffer"/>
              <w:numPr>
                <w:ilvl w:val="0"/>
                <w:numId w:val="0"/>
              </w:numPr>
              <w:ind w:right="170"/>
              <w:jc w:val="right"/>
              <w:rPr>
                <w:sz w:val="14"/>
                <w:szCs w:val="14"/>
              </w:rPr>
            </w:pPr>
            <w:r>
              <w:rPr>
                <w:sz w:val="14"/>
                <w:szCs w:val="14"/>
              </w:rPr>
              <w:t>989</w:t>
            </w:r>
          </w:p>
        </w:tc>
        <w:tc>
          <w:tcPr>
            <w:tcW w:w="850" w:type="dxa"/>
            <w:vAlign w:val="center"/>
          </w:tcPr>
          <w:p>
            <w:pPr>
              <w:pStyle w:val="Randziffer"/>
              <w:numPr>
                <w:ilvl w:val="0"/>
                <w:numId w:val="0"/>
              </w:numPr>
              <w:ind w:right="170"/>
              <w:jc w:val="right"/>
              <w:rPr>
                <w:sz w:val="14"/>
                <w:szCs w:val="14"/>
              </w:rPr>
            </w:pPr>
            <w:r>
              <w:rPr>
                <w:sz w:val="14"/>
                <w:szCs w:val="14"/>
              </w:rPr>
              <w:t>1.082</w:t>
            </w:r>
          </w:p>
        </w:tc>
        <w:tc>
          <w:tcPr>
            <w:tcW w:w="992" w:type="dxa"/>
            <w:vAlign w:val="center"/>
          </w:tcPr>
          <w:p>
            <w:pPr>
              <w:pStyle w:val="Randziffer"/>
              <w:numPr>
                <w:ilvl w:val="0"/>
                <w:numId w:val="0"/>
              </w:numPr>
              <w:ind w:right="170"/>
              <w:jc w:val="right"/>
              <w:rPr>
                <w:sz w:val="14"/>
                <w:szCs w:val="14"/>
              </w:rPr>
            </w:pPr>
            <w:r>
              <w:rPr>
                <w:sz w:val="14"/>
                <w:szCs w:val="14"/>
              </w:rPr>
              <w:t>1.082</w:t>
            </w:r>
          </w:p>
        </w:tc>
        <w:tc>
          <w:tcPr>
            <w:tcW w:w="993" w:type="dxa"/>
            <w:vAlign w:val="center"/>
          </w:tcPr>
          <w:p>
            <w:pPr>
              <w:pStyle w:val="Randziffer"/>
              <w:numPr>
                <w:ilvl w:val="0"/>
                <w:numId w:val="0"/>
              </w:numPr>
              <w:ind w:right="170"/>
              <w:jc w:val="right"/>
              <w:rPr>
                <w:sz w:val="14"/>
                <w:szCs w:val="14"/>
              </w:rPr>
            </w:pPr>
            <w:r>
              <w:rPr>
                <w:sz w:val="14"/>
                <w:szCs w:val="14"/>
              </w:rPr>
              <w:t>23.178</w:t>
            </w:r>
          </w:p>
        </w:tc>
        <w:tc>
          <w:tcPr>
            <w:tcW w:w="992" w:type="dxa"/>
            <w:vAlign w:val="center"/>
          </w:tcPr>
          <w:p>
            <w:pPr>
              <w:pStyle w:val="Randziffer"/>
              <w:numPr>
                <w:ilvl w:val="0"/>
                <w:numId w:val="0"/>
              </w:numPr>
              <w:ind w:right="170"/>
              <w:jc w:val="right"/>
              <w:rPr>
                <w:sz w:val="14"/>
                <w:szCs w:val="14"/>
              </w:rPr>
            </w:pPr>
            <w:r>
              <w:rPr>
                <w:sz w:val="14"/>
                <w:szCs w:val="14"/>
              </w:rPr>
              <w:t>21.639</w:t>
            </w:r>
          </w:p>
        </w:tc>
        <w:tc>
          <w:tcPr>
            <w:tcW w:w="992" w:type="dxa"/>
            <w:vAlign w:val="center"/>
          </w:tcPr>
          <w:p>
            <w:pPr>
              <w:pStyle w:val="Randziffer"/>
              <w:numPr>
                <w:ilvl w:val="0"/>
                <w:numId w:val="0"/>
              </w:numPr>
              <w:ind w:right="170"/>
              <w:jc w:val="right"/>
              <w:rPr>
                <w:sz w:val="14"/>
                <w:szCs w:val="14"/>
              </w:rPr>
            </w:pPr>
            <w:r>
              <w:rPr>
                <w:sz w:val="14"/>
                <w:szCs w:val="14"/>
              </w:rPr>
              <w:t>25.376</w:t>
            </w:r>
          </w:p>
        </w:tc>
        <w:tc>
          <w:tcPr>
            <w:tcW w:w="992" w:type="dxa"/>
            <w:vAlign w:val="center"/>
          </w:tcPr>
          <w:p>
            <w:pPr>
              <w:pStyle w:val="Randziffer"/>
              <w:numPr>
                <w:ilvl w:val="0"/>
                <w:numId w:val="0"/>
              </w:numPr>
              <w:ind w:right="170"/>
              <w:jc w:val="right"/>
              <w:rPr>
                <w:sz w:val="14"/>
                <w:szCs w:val="14"/>
              </w:rPr>
            </w:pPr>
            <w:r>
              <w:rPr>
                <w:sz w:val="14"/>
                <w:szCs w:val="14"/>
              </w:rPr>
              <w:t>23.747</w:t>
            </w:r>
          </w:p>
        </w:tc>
      </w:tr>
      <w:tr>
        <w:trPr>
          <w:trHeight w:val="224"/>
        </w:trPr>
        <w:tc>
          <w:tcPr>
            <w:tcW w:w="1559" w:type="dxa"/>
          </w:tcPr>
          <w:p>
            <w:pPr>
              <w:pStyle w:val="Randziffer"/>
              <w:numPr>
                <w:ilvl w:val="0"/>
                <w:numId w:val="0"/>
              </w:numPr>
              <w:spacing w:before="60" w:after="60"/>
              <w:jc w:val="left"/>
              <w:rPr>
                <w:sz w:val="14"/>
                <w:szCs w:val="14"/>
              </w:rPr>
            </w:pPr>
            <w:r>
              <w:rPr>
                <w:sz w:val="14"/>
                <w:szCs w:val="14"/>
              </w:rPr>
              <w:t xml:space="preserve">davon: </w:t>
            </w:r>
          </w:p>
          <w:p>
            <w:pPr>
              <w:pStyle w:val="Randziffer"/>
              <w:numPr>
                <w:ilvl w:val="0"/>
                <w:numId w:val="0"/>
              </w:numPr>
              <w:spacing w:before="60" w:after="60"/>
              <w:jc w:val="left"/>
              <w:rPr>
                <w:sz w:val="14"/>
                <w:szCs w:val="14"/>
              </w:rPr>
            </w:pPr>
            <w:r>
              <w:rPr>
                <w:sz w:val="14"/>
                <w:szCs w:val="14"/>
              </w:rPr>
              <w:t>von Finanzunternehmen begeben</w:t>
            </w:r>
          </w:p>
        </w:tc>
        <w:tc>
          <w:tcPr>
            <w:tcW w:w="992" w:type="dxa"/>
            <w:vAlign w:val="center"/>
          </w:tcPr>
          <w:p>
            <w:pPr>
              <w:pStyle w:val="Randziffer"/>
              <w:numPr>
                <w:ilvl w:val="0"/>
                <w:numId w:val="0"/>
              </w:numPr>
              <w:ind w:right="170"/>
              <w:jc w:val="right"/>
              <w:rPr>
                <w:sz w:val="14"/>
                <w:szCs w:val="14"/>
              </w:rPr>
            </w:pPr>
            <w:r>
              <w:rPr>
                <w:sz w:val="14"/>
                <w:szCs w:val="14"/>
              </w:rPr>
              <w:t>9.325</w:t>
            </w:r>
          </w:p>
        </w:tc>
        <w:tc>
          <w:tcPr>
            <w:tcW w:w="993" w:type="dxa"/>
            <w:vAlign w:val="center"/>
          </w:tcPr>
          <w:p>
            <w:pPr>
              <w:pStyle w:val="Randziffer"/>
              <w:numPr>
                <w:ilvl w:val="0"/>
                <w:numId w:val="0"/>
              </w:numPr>
              <w:ind w:right="170"/>
              <w:jc w:val="right"/>
              <w:rPr>
                <w:sz w:val="14"/>
                <w:szCs w:val="14"/>
              </w:rPr>
            </w:pPr>
            <w:r>
              <w:rPr>
                <w:sz w:val="14"/>
                <w:szCs w:val="14"/>
              </w:rPr>
              <w:t>9.325</w:t>
            </w:r>
          </w:p>
        </w:tc>
        <w:tc>
          <w:tcPr>
            <w:tcW w:w="850" w:type="dxa"/>
            <w:vAlign w:val="center"/>
          </w:tcPr>
          <w:p>
            <w:pPr>
              <w:pStyle w:val="Randziffer"/>
              <w:numPr>
                <w:ilvl w:val="0"/>
                <w:numId w:val="0"/>
              </w:numPr>
              <w:ind w:right="170"/>
              <w:jc w:val="right"/>
              <w:rPr>
                <w:sz w:val="14"/>
                <w:szCs w:val="14"/>
              </w:rPr>
            </w:pPr>
            <w:r>
              <w:rPr>
                <w:sz w:val="14"/>
                <w:szCs w:val="14"/>
              </w:rPr>
              <w:t>8.989</w:t>
            </w:r>
          </w:p>
        </w:tc>
        <w:tc>
          <w:tcPr>
            <w:tcW w:w="992" w:type="dxa"/>
            <w:vAlign w:val="center"/>
          </w:tcPr>
          <w:p>
            <w:pPr>
              <w:pStyle w:val="Randziffer"/>
              <w:numPr>
                <w:ilvl w:val="0"/>
                <w:numId w:val="0"/>
              </w:numPr>
              <w:ind w:right="170"/>
              <w:jc w:val="right"/>
              <w:rPr>
                <w:sz w:val="14"/>
                <w:szCs w:val="14"/>
              </w:rPr>
            </w:pPr>
            <w:r>
              <w:rPr>
                <w:sz w:val="14"/>
                <w:szCs w:val="14"/>
              </w:rPr>
              <w:t>8.989</w:t>
            </w:r>
          </w:p>
        </w:tc>
        <w:tc>
          <w:tcPr>
            <w:tcW w:w="993" w:type="dxa"/>
            <w:vAlign w:val="center"/>
          </w:tcPr>
          <w:p>
            <w:pPr>
              <w:pStyle w:val="Randziffer"/>
              <w:numPr>
                <w:ilvl w:val="0"/>
                <w:numId w:val="0"/>
              </w:numPr>
              <w:ind w:right="170"/>
              <w:jc w:val="right"/>
              <w:rPr>
                <w:sz w:val="14"/>
                <w:szCs w:val="14"/>
              </w:rPr>
            </w:pPr>
            <w:r>
              <w:rPr>
                <w:sz w:val="14"/>
                <w:szCs w:val="14"/>
              </w:rPr>
              <w:t>20.220</w:t>
            </w:r>
          </w:p>
        </w:tc>
        <w:tc>
          <w:tcPr>
            <w:tcW w:w="992" w:type="dxa"/>
            <w:vAlign w:val="center"/>
          </w:tcPr>
          <w:p>
            <w:pPr>
              <w:pStyle w:val="Randziffer"/>
              <w:numPr>
                <w:ilvl w:val="0"/>
                <w:numId w:val="0"/>
              </w:numPr>
              <w:ind w:right="170"/>
              <w:jc w:val="right"/>
              <w:rPr>
                <w:sz w:val="14"/>
                <w:szCs w:val="14"/>
              </w:rPr>
            </w:pPr>
            <w:r>
              <w:rPr>
                <w:sz w:val="14"/>
                <w:szCs w:val="14"/>
              </w:rPr>
              <w:t>16.156</w:t>
            </w:r>
          </w:p>
        </w:tc>
        <w:tc>
          <w:tcPr>
            <w:tcW w:w="992" w:type="dxa"/>
            <w:vAlign w:val="center"/>
          </w:tcPr>
          <w:p>
            <w:pPr>
              <w:pStyle w:val="Randziffer"/>
              <w:numPr>
                <w:ilvl w:val="0"/>
                <w:numId w:val="0"/>
              </w:numPr>
              <w:ind w:right="170"/>
              <w:jc w:val="right"/>
              <w:rPr>
                <w:sz w:val="14"/>
                <w:szCs w:val="14"/>
              </w:rPr>
            </w:pPr>
            <w:r>
              <w:rPr>
                <w:sz w:val="14"/>
                <w:szCs w:val="14"/>
              </w:rPr>
              <w:t>21.415</w:t>
            </w:r>
          </w:p>
        </w:tc>
        <w:tc>
          <w:tcPr>
            <w:tcW w:w="992" w:type="dxa"/>
            <w:vAlign w:val="center"/>
          </w:tcPr>
          <w:p>
            <w:pPr>
              <w:pStyle w:val="Randziffer"/>
              <w:numPr>
                <w:ilvl w:val="0"/>
                <w:numId w:val="0"/>
              </w:numPr>
              <w:ind w:right="170"/>
              <w:jc w:val="right"/>
              <w:rPr>
                <w:sz w:val="14"/>
                <w:szCs w:val="14"/>
              </w:rPr>
            </w:pPr>
            <w:r>
              <w:rPr>
                <w:sz w:val="14"/>
                <w:szCs w:val="14"/>
              </w:rPr>
              <w:t>16.873</w:t>
            </w:r>
          </w:p>
        </w:tc>
      </w:tr>
      <w:tr>
        <w:trPr>
          <w:trHeight w:val="224"/>
        </w:trPr>
        <w:tc>
          <w:tcPr>
            <w:tcW w:w="1559" w:type="dxa"/>
          </w:tcPr>
          <w:p>
            <w:pPr>
              <w:pStyle w:val="Randziffer"/>
              <w:numPr>
                <w:ilvl w:val="0"/>
                <w:numId w:val="0"/>
              </w:numPr>
              <w:spacing w:before="60" w:after="60"/>
              <w:jc w:val="left"/>
              <w:rPr>
                <w:sz w:val="14"/>
                <w:szCs w:val="14"/>
              </w:rPr>
            </w:pPr>
            <w:r>
              <w:rPr>
                <w:sz w:val="14"/>
                <w:szCs w:val="14"/>
              </w:rPr>
              <w:t xml:space="preserve">davon: </w:t>
            </w:r>
          </w:p>
          <w:p>
            <w:pPr>
              <w:pStyle w:val="Randziffer"/>
              <w:numPr>
                <w:ilvl w:val="0"/>
                <w:numId w:val="0"/>
              </w:numPr>
              <w:spacing w:before="60" w:after="60"/>
              <w:jc w:val="left"/>
              <w:rPr>
                <w:sz w:val="14"/>
                <w:szCs w:val="14"/>
              </w:rPr>
            </w:pPr>
            <w:r>
              <w:rPr>
                <w:sz w:val="14"/>
                <w:szCs w:val="14"/>
              </w:rPr>
              <w:t>von Nichtfinanzunternehmen begeben</w:t>
            </w:r>
          </w:p>
        </w:tc>
        <w:tc>
          <w:tcPr>
            <w:tcW w:w="992" w:type="dxa"/>
            <w:vAlign w:val="center"/>
          </w:tcPr>
          <w:p>
            <w:pPr>
              <w:pStyle w:val="Randziffer"/>
              <w:numPr>
                <w:ilvl w:val="0"/>
                <w:numId w:val="0"/>
              </w:numPr>
              <w:ind w:right="170"/>
              <w:jc w:val="right"/>
              <w:rPr>
                <w:sz w:val="14"/>
                <w:szCs w:val="14"/>
              </w:rPr>
            </w:pPr>
            <w:r>
              <w:rPr>
                <w:sz w:val="14"/>
                <w:szCs w:val="14"/>
              </w:rPr>
              <w:t>9.530</w:t>
            </w:r>
          </w:p>
        </w:tc>
        <w:tc>
          <w:tcPr>
            <w:tcW w:w="993" w:type="dxa"/>
            <w:vAlign w:val="center"/>
          </w:tcPr>
          <w:p>
            <w:pPr>
              <w:pStyle w:val="Randziffer"/>
              <w:numPr>
                <w:ilvl w:val="0"/>
                <w:numId w:val="0"/>
              </w:numPr>
              <w:ind w:right="170"/>
              <w:jc w:val="right"/>
              <w:rPr>
                <w:sz w:val="14"/>
                <w:szCs w:val="14"/>
              </w:rPr>
            </w:pPr>
            <w:r>
              <w:rPr>
                <w:sz w:val="14"/>
                <w:szCs w:val="14"/>
              </w:rPr>
              <w:t>9.530</w:t>
            </w:r>
          </w:p>
        </w:tc>
        <w:tc>
          <w:tcPr>
            <w:tcW w:w="850" w:type="dxa"/>
            <w:vAlign w:val="center"/>
          </w:tcPr>
          <w:p>
            <w:pPr>
              <w:pStyle w:val="Randziffer"/>
              <w:numPr>
                <w:ilvl w:val="0"/>
                <w:numId w:val="0"/>
              </w:numPr>
              <w:ind w:right="170"/>
              <w:jc w:val="right"/>
              <w:rPr>
                <w:sz w:val="14"/>
                <w:szCs w:val="14"/>
              </w:rPr>
            </w:pPr>
            <w:r>
              <w:rPr>
                <w:sz w:val="14"/>
                <w:szCs w:val="14"/>
              </w:rPr>
              <w:t>9.579</w:t>
            </w:r>
          </w:p>
        </w:tc>
        <w:tc>
          <w:tcPr>
            <w:tcW w:w="992" w:type="dxa"/>
            <w:vAlign w:val="center"/>
          </w:tcPr>
          <w:p>
            <w:pPr>
              <w:pStyle w:val="Randziffer"/>
              <w:numPr>
                <w:ilvl w:val="0"/>
                <w:numId w:val="0"/>
              </w:numPr>
              <w:ind w:right="170"/>
              <w:jc w:val="right"/>
              <w:rPr>
                <w:sz w:val="14"/>
                <w:szCs w:val="14"/>
              </w:rPr>
            </w:pPr>
            <w:r>
              <w:rPr>
                <w:sz w:val="14"/>
                <w:szCs w:val="14"/>
              </w:rPr>
              <w:t>9.579</w:t>
            </w:r>
          </w:p>
        </w:tc>
        <w:tc>
          <w:tcPr>
            <w:tcW w:w="993" w:type="dxa"/>
            <w:vAlign w:val="center"/>
          </w:tcPr>
          <w:p>
            <w:pPr>
              <w:pStyle w:val="Randziffer"/>
              <w:numPr>
                <w:ilvl w:val="0"/>
                <w:numId w:val="0"/>
              </w:numPr>
              <w:ind w:right="170"/>
              <w:jc w:val="right"/>
              <w:rPr>
                <w:sz w:val="14"/>
                <w:szCs w:val="14"/>
              </w:rPr>
            </w:pPr>
            <w:r>
              <w:rPr>
                <w:sz w:val="14"/>
                <w:szCs w:val="14"/>
              </w:rPr>
              <w:t>17.670</w:t>
            </w:r>
          </w:p>
        </w:tc>
        <w:tc>
          <w:tcPr>
            <w:tcW w:w="992" w:type="dxa"/>
            <w:vAlign w:val="center"/>
          </w:tcPr>
          <w:p>
            <w:pPr>
              <w:pStyle w:val="Randziffer"/>
              <w:numPr>
                <w:ilvl w:val="0"/>
                <w:numId w:val="0"/>
              </w:numPr>
              <w:ind w:right="170"/>
              <w:jc w:val="right"/>
              <w:rPr>
                <w:sz w:val="14"/>
                <w:szCs w:val="14"/>
              </w:rPr>
            </w:pPr>
            <w:r>
              <w:rPr>
                <w:sz w:val="14"/>
                <w:szCs w:val="14"/>
              </w:rPr>
              <w:t>1.613</w:t>
            </w:r>
          </w:p>
        </w:tc>
        <w:tc>
          <w:tcPr>
            <w:tcW w:w="992" w:type="dxa"/>
            <w:vAlign w:val="center"/>
          </w:tcPr>
          <w:p>
            <w:pPr>
              <w:pStyle w:val="Randziffer"/>
              <w:numPr>
                <w:ilvl w:val="0"/>
                <w:numId w:val="0"/>
              </w:numPr>
              <w:ind w:right="170"/>
              <w:jc w:val="right"/>
              <w:rPr>
                <w:sz w:val="14"/>
                <w:szCs w:val="14"/>
              </w:rPr>
            </w:pPr>
            <w:r>
              <w:rPr>
                <w:sz w:val="14"/>
                <w:szCs w:val="14"/>
              </w:rPr>
              <w:t>18.523</w:t>
            </w:r>
          </w:p>
        </w:tc>
        <w:tc>
          <w:tcPr>
            <w:tcW w:w="992" w:type="dxa"/>
            <w:vAlign w:val="center"/>
          </w:tcPr>
          <w:p>
            <w:pPr>
              <w:pStyle w:val="Randziffer"/>
              <w:numPr>
                <w:ilvl w:val="0"/>
                <w:numId w:val="0"/>
              </w:numPr>
              <w:ind w:right="170"/>
              <w:jc w:val="right"/>
              <w:rPr>
                <w:sz w:val="14"/>
                <w:szCs w:val="14"/>
              </w:rPr>
            </w:pPr>
            <w:r>
              <w:rPr>
                <w:sz w:val="14"/>
                <w:szCs w:val="14"/>
              </w:rPr>
              <w:t>2.299</w:t>
            </w:r>
          </w:p>
        </w:tc>
      </w:tr>
      <w:tr>
        <w:trPr>
          <w:trHeight w:val="217"/>
        </w:trPr>
        <w:tc>
          <w:tcPr>
            <w:tcW w:w="1559" w:type="dxa"/>
          </w:tcPr>
          <w:p>
            <w:pPr>
              <w:pStyle w:val="Randziffer"/>
              <w:numPr>
                <w:ilvl w:val="0"/>
                <w:numId w:val="0"/>
              </w:numPr>
              <w:jc w:val="left"/>
              <w:rPr>
                <w:sz w:val="14"/>
                <w:szCs w:val="14"/>
              </w:rPr>
            </w:pPr>
            <w:r>
              <w:rPr>
                <w:sz w:val="14"/>
                <w:szCs w:val="14"/>
              </w:rPr>
              <w:t>Sonstige Vermögenswerte</w:t>
            </w:r>
          </w:p>
        </w:tc>
        <w:tc>
          <w:tcPr>
            <w:tcW w:w="992" w:type="dxa"/>
            <w:vAlign w:val="center"/>
          </w:tcPr>
          <w:p>
            <w:pPr>
              <w:pStyle w:val="Randziffer"/>
              <w:numPr>
                <w:ilvl w:val="0"/>
                <w:numId w:val="0"/>
              </w:numPr>
              <w:ind w:right="170"/>
              <w:jc w:val="right"/>
              <w:rPr>
                <w:sz w:val="14"/>
                <w:szCs w:val="14"/>
              </w:rPr>
            </w:pPr>
            <w:r>
              <w:rPr>
                <w:sz w:val="14"/>
                <w:szCs w:val="14"/>
              </w:rPr>
              <w:t>0</w:t>
            </w:r>
          </w:p>
        </w:tc>
        <w:tc>
          <w:tcPr>
            <w:tcW w:w="993" w:type="dxa"/>
            <w:shd w:val="clear" w:color="auto" w:fill="auto"/>
            <w:vAlign w:val="center"/>
          </w:tcPr>
          <w:p>
            <w:pPr>
              <w:pStyle w:val="Randziffer"/>
              <w:numPr>
                <w:ilvl w:val="0"/>
                <w:numId w:val="0"/>
              </w:numPr>
              <w:ind w:right="170"/>
              <w:jc w:val="right"/>
              <w:rPr>
                <w:sz w:val="14"/>
                <w:szCs w:val="14"/>
              </w:rPr>
            </w:pPr>
            <w:r>
              <w:rPr>
                <w:sz w:val="14"/>
                <w:szCs w:val="14"/>
              </w:rPr>
              <w:t>0</w:t>
            </w:r>
          </w:p>
        </w:tc>
        <w:tc>
          <w:tcPr>
            <w:tcW w:w="850" w:type="dxa"/>
            <w:shd w:val="clear" w:color="auto" w:fill="D9D9D9" w:themeFill="background1" w:themeFillShade="D9"/>
            <w:vAlign w:val="center"/>
          </w:tcPr>
          <w:p>
            <w:pPr>
              <w:pStyle w:val="Randziffer"/>
              <w:numPr>
                <w:ilvl w:val="0"/>
                <w:numId w:val="0"/>
              </w:numPr>
              <w:ind w:right="170"/>
              <w:jc w:val="right"/>
              <w:rPr>
                <w:sz w:val="14"/>
                <w:szCs w:val="14"/>
              </w:rPr>
            </w:pPr>
          </w:p>
        </w:tc>
        <w:tc>
          <w:tcPr>
            <w:tcW w:w="992" w:type="dxa"/>
            <w:shd w:val="clear" w:color="auto" w:fill="D9D9D9" w:themeFill="background1" w:themeFillShade="D9"/>
            <w:vAlign w:val="center"/>
          </w:tcPr>
          <w:p>
            <w:pPr>
              <w:pStyle w:val="Randziffer"/>
              <w:numPr>
                <w:ilvl w:val="0"/>
                <w:numId w:val="0"/>
              </w:numPr>
              <w:ind w:right="170"/>
              <w:jc w:val="right"/>
              <w:rPr>
                <w:sz w:val="14"/>
                <w:szCs w:val="14"/>
              </w:rPr>
            </w:pPr>
          </w:p>
        </w:tc>
        <w:tc>
          <w:tcPr>
            <w:tcW w:w="993" w:type="dxa"/>
            <w:vAlign w:val="center"/>
          </w:tcPr>
          <w:p>
            <w:pPr>
              <w:pStyle w:val="Randziffer"/>
              <w:numPr>
                <w:ilvl w:val="0"/>
                <w:numId w:val="0"/>
              </w:numPr>
              <w:ind w:right="170"/>
              <w:jc w:val="right"/>
              <w:rPr>
                <w:sz w:val="14"/>
                <w:szCs w:val="14"/>
              </w:rPr>
            </w:pPr>
            <w:r>
              <w:rPr>
                <w:sz w:val="14"/>
                <w:szCs w:val="14"/>
              </w:rPr>
              <w:t>8.734</w:t>
            </w:r>
          </w:p>
        </w:tc>
        <w:tc>
          <w:tcPr>
            <w:tcW w:w="992" w:type="dxa"/>
            <w:shd w:val="clear" w:color="auto" w:fill="auto"/>
            <w:vAlign w:val="center"/>
          </w:tcPr>
          <w:p>
            <w:pPr>
              <w:pStyle w:val="Randziffer"/>
              <w:numPr>
                <w:ilvl w:val="0"/>
                <w:numId w:val="0"/>
              </w:numPr>
              <w:ind w:right="170"/>
              <w:jc w:val="right"/>
              <w:rPr>
                <w:sz w:val="14"/>
                <w:szCs w:val="14"/>
              </w:rPr>
            </w:pPr>
            <w:r>
              <w:rPr>
                <w:sz w:val="14"/>
                <w:szCs w:val="14"/>
              </w:rPr>
              <w:t>0</w:t>
            </w:r>
          </w:p>
        </w:tc>
        <w:tc>
          <w:tcPr>
            <w:tcW w:w="992" w:type="dxa"/>
            <w:shd w:val="clear" w:color="auto" w:fill="D9D9D9" w:themeFill="background1" w:themeFillShade="D9"/>
            <w:vAlign w:val="center"/>
          </w:tcPr>
          <w:p>
            <w:pPr>
              <w:pStyle w:val="Randziffer"/>
              <w:numPr>
                <w:ilvl w:val="0"/>
                <w:numId w:val="0"/>
              </w:numPr>
              <w:ind w:right="170"/>
              <w:jc w:val="right"/>
              <w:rPr>
                <w:sz w:val="14"/>
                <w:szCs w:val="14"/>
              </w:rPr>
            </w:pPr>
          </w:p>
        </w:tc>
        <w:tc>
          <w:tcPr>
            <w:tcW w:w="992" w:type="dxa"/>
            <w:shd w:val="clear" w:color="auto" w:fill="D9D9D9" w:themeFill="background1" w:themeFillShade="D9"/>
            <w:vAlign w:val="center"/>
          </w:tcPr>
          <w:p>
            <w:pPr>
              <w:pStyle w:val="Randziffer"/>
              <w:numPr>
                <w:ilvl w:val="0"/>
                <w:numId w:val="0"/>
              </w:numPr>
              <w:ind w:right="170"/>
              <w:jc w:val="right"/>
              <w:rPr>
                <w:sz w:val="14"/>
                <w:szCs w:val="14"/>
              </w:rPr>
            </w:pPr>
          </w:p>
        </w:tc>
      </w:tr>
    </w:tbl>
    <w:p>
      <w:pPr>
        <w:pStyle w:val="Randziffer"/>
        <w:numPr>
          <w:ilvl w:val="0"/>
          <w:numId w:val="0"/>
        </w:numPr>
      </w:pPr>
    </w:p>
    <w:p>
      <w:pPr>
        <w:pStyle w:val="Randziffer"/>
      </w:pPr>
      <w:r>
        <w:lastRenderedPageBreak/>
        <w:t>Belastete Vermögenswerte und damit verbundene Verbindlichkeiten:</w:t>
      </w:r>
    </w:p>
    <w:tbl>
      <w:tblPr>
        <w:tblStyle w:val="Tabellenraster"/>
        <w:tblW w:w="8788" w:type="dxa"/>
        <w:tblInd w:w="534" w:type="dxa"/>
        <w:tblLayout w:type="fixed"/>
        <w:tblLook w:val="04A0" w:firstRow="1" w:lastRow="0" w:firstColumn="1" w:lastColumn="0" w:noHBand="0" w:noVBand="1"/>
      </w:tblPr>
      <w:tblGrid>
        <w:gridCol w:w="2955"/>
        <w:gridCol w:w="2998"/>
        <w:gridCol w:w="2835"/>
      </w:tblGrid>
      <w:tr>
        <w:tc>
          <w:tcPr>
            <w:tcW w:w="2955" w:type="dxa"/>
            <w:shd w:val="clear" w:color="auto" w:fill="00B0F0"/>
            <w:vAlign w:val="center"/>
          </w:tcPr>
          <w:p>
            <w:pPr>
              <w:pStyle w:val="Randziffer"/>
              <w:numPr>
                <w:ilvl w:val="0"/>
                <w:numId w:val="0"/>
              </w:numPr>
              <w:rPr>
                <w:b/>
                <w:color w:val="FFFFFF" w:themeColor="background1"/>
                <w:sz w:val="18"/>
                <w:szCs w:val="18"/>
              </w:rPr>
            </w:pPr>
            <w:r>
              <w:rPr>
                <w:b/>
                <w:color w:val="FFFFFF" w:themeColor="background1"/>
                <w:sz w:val="18"/>
                <w:szCs w:val="18"/>
              </w:rPr>
              <w:t>Angaben in TEUR</w:t>
            </w:r>
          </w:p>
        </w:tc>
        <w:tc>
          <w:tcPr>
            <w:tcW w:w="2998" w:type="dxa"/>
            <w:shd w:val="clear" w:color="auto" w:fill="00B0F0"/>
          </w:tcPr>
          <w:p>
            <w:pPr>
              <w:pStyle w:val="Randziffer"/>
              <w:numPr>
                <w:ilvl w:val="0"/>
                <w:numId w:val="0"/>
              </w:numPr>
              <w:jc w:val="center"/>
              <w:rPr>
                <w:b/>
                <w:color w:val="FFFFFF" w:themeColor="background1"/>
                <w:sz w:val="18"/>
                <w:szCs w:val="18"/>
              </w:rPr>
            </w:pPr>
            <w:r>
              <w:rPr>
                <w:b/>
                <w:color w:val="FFFFFF" w:themeColor="background1"/>
                <w:sz w:val="18"/>
                <w:szCs w:val="18"/>
              </w:rPr>
              <w:t>Deckung der Verbindlichkeiten, Eventualverbindlichkeiten oder ausgeliehenen Wertpapiere</w:t>
            </w:r>
          </w:p>
        </w:tc>
        <w:tc>
          <w:tcPr>
            <w:tcW w:w="2835" w:type="dxa"/>
            <w:shd w:val="clear" w:color="auto" w:fill="00B0F0"/>
          </w:tcPr>
          <w:p>
            <w:pPr>
              <w:pStyle w:val="Randziffer"/>
              <w:numPr>
                <w:ilvl w:val="0"/>
                <w:numId w:val="0"/>
              </w:numPr>
              <w:jc w:val="center"/>
              <w:rPr>
                <w:b/>
                <w:color w:val="FFFFFF" w:themeColor="background1"/>
                <w:sz w:val="18"/>
                <w:szCs w:val="18"/>
              </w:rPr>
            </w:pPr>
            <w:r>
              <w:rPr>
                <w:b/>
                <w:color w:val="FFFFFF" w:themeColor="background1"/>
                <w:sz w:val="18"/>
                <w:szCs w:val="18"/>
              </w:rPr>
              <w:t>Vermögenswerte, erhaltene Sicherheiten und andere ausgegebene Schuldtitel als belastete Pfandbriefe und ABS</w:t>
            </w:r>
          </w:p>
        </w:tc>
      </w:tr>
      <w:tr>
        <w:tc>
          <w:tcPr>
            <w:tcW w:w="2955" w:type="dxa"/>
          </w:tcPr>
          <w:p>
            <w:pPr>
              <w:pStyle w:val="Randziffer"/>
              <w:numPr>
                <w:ilvl w:val="0"/>
                <w:numId w:val="0"/>
              </w:numPr>
              <w:spacing w:before="60" w:after="0"/>
              <w:rPr>
                <w:b/>
                <w:sz w:val="18"/>
                <w:szCs w:val="18"/>
              </w:rPr>
            </w:pPr>
            <w:r>
              <w:rPr>
                <w:b/>
                <w:sz w:val="18"/>
                <w:szCs w:val="18"/>
              </w:rPr>
              <w:t xml:space="preserve">Buchwert ausgewählter </w:t>
            </w:r>
          </w:p>
          <w:p>
            <w:pPr>
              <w:pStyle w:val="Randziffer"/>
              <w:numPr>
                <w:ilvl w:val="0"/>
                <w:numId w:val="0"/>
              </w:numPr>
              <w:spacing w:before="0" w:after="0"/>
              <w:rPr>
                <w:b/>
                <w:sz w:val="18"/>
                <w:szCs w:val="18"/>
              </w:rPr>
            </w:pPr>
            <w:r>
              <w:rPr>
                <w:b/>
                <w:sz w:val="18"/>
                <w:szCs w:val="18"/>
              </w:rPr>
              <w:t>Verbindlichkeiten</w:t>
            </w:r>
          </w:p>
        </w:tc>
        <w:tc>
          <w:tcPr>
            <w:tcW w:w="2998" w:type="dxa"/>
            <w:vAlign w:val="center"/>
          </w:tcPr>
          <w:p>
            <w:pPr>
              <w:pStyle w:val="Randziffer"/>
              <w:numPr>
                <w:ilvl w:val="0"/>
                <w:numId w:val="0"/>
              </w:numPr>
              <w:ind w:right="255"/>
              <w:jc w:val="right"/>
              <w:rPr>
                <w:sz w:val="18"/>
                <w:szCs w:val="18"/>
              </w:rPr>
            </w:pPr>
            <w:r>
              <w:rPr>
                <w:sz w:val="18"/>
                <w:szCs w:val="18"/>
              </w:rPr>
              <w:t>150.219</w:t>
            </w:r>
          </w:p>
        </w:tc>
        <w:tc>
          <w:tcPr>
            <w:tcW w:w="2835" w:type="dxa"/>
            <w:vAlign w:val="center"/>
          </w:tcPr>
          <w:p>
            <w:pPr>
              <w:pStyle w:val="Randziffer"/>
              <w:numPr>
                <w:ilvl w:val="0"/>
                <w:numId w:val="0"/>
              </w:numPr>
              <w:ind w:right="255"/>
              <w:jc w:val="right"/>
              <w:rPr>
                <w:sz w:val="18"/>
                <w:szCs w:val="18"/>
              </w:rPr>
            </w:pPr>
            <w:r>
              <w:rPr>
                <w:sz w:val="18"/>
                <w:szCs w:val="18"/>
              </w:rPr>
              <w:t>140.065</w:t>
            </w:r>
          </w:p>
        </w:tc>
      </w:tr>
    </w:tbl>
    <w:p>
      <w:pPr>
        <w:spacing w:before="240"/>
      </w:pPr>
    </w:p>
    <w:p>
      <w:pPr>
        <w:pStyle w:val="Randziffer"/>
      </w:pPr>
      <w:r>
        <w:t xml:space="preserve">Die Quote der belasteten Vermögenswerte (Asset </w:t>
      </w:r>
      <w:proofErr w:type="spellStart"/>
      <w:r>
        <w:t>Encumbrance</w:t>
      </w:r>
      <w:proofErr w:type="spellEnd"/>
      <w:r>
        <w:t>-Quote) zum 31.12.2019 betrug 21,5 %.</w:t>
      </w:r>
    </w:p>
    <w:p>
      <w:pPr>
        <w:pStyle w:val="Randziffer"/>
      </w:pPr>
      <w:r>
        <w:t xml:space="preserve">Die Belastung von Vermögenswerten resultiert hauptsächlich aus </w:t>
      </w:r>
    </w:p>
    <w:p>
      <w:pPr>
        <w:pStyle w:val="Listenabsatz"/>
        <w:numPr>
          <w:ilvl w:val="0"/>
          <w:numId w:val="14"/>
        </w:numPr>
        <w:ind w:left="714" w:hanging="357"/>
      </w:pPr>
      <w:r>
        <w:t>der Besicherung eines Offenmarktgeschäftes mit der Deutschen Bundesbank</w:t>
      </w:r>
    </w:p>
    <w:p>
      <w:pPr>
        <w:pStyle w:val="Listenabsatz"/>
        <w:numPr>
          <w:ilvl w:val="0"/>
          <w:numId w:val="14"/>
        </w:numPr>
        <w:ind w:left="714" w:hanging="357"/>
      </w:pPr>
      <w:r>
        <w:t>Weiterleitungskrediten aus öffentlichen Fördermitteln</w:t>
      </w:r>
    </w:p>
    <w:p>
      <w:pPr>
        <w:pStyle w:val="Listenabsatz"/>
        <w:ind w:left="714"/>
      </w:pPr>
    </w:p>
    <w:p>
      <w:pPr>
        <w:pStyle w:val="Randziffer"/>
        <w:numPr>
          <w:ilvl w:val="0"/>
          <w:numId w:val="0"/>
        </w:numPr>
        <w:ind w:left="360"/>
      </w:pPr>
      <w:r>
        <w:t xml:space="preserve">Die Besicherung erfolgt grundsätzlich nur mit </w:t>
      </w:r>
    </w:p>
    <w:p>
      <w:pPr>
        <w:pStyle w:val="Listenabsatz"/>
        <w:numPr>
          <w:ilvl w:val="0"/>
          <w:numId w:val="14"/>
        </w:numPr>
        <w:ind w:left="714" w:hanging="357"/>
      </w:pPr>
      <w:r>
        <w:t xml:space="preserve">marktüblichen Rahmenverträgen </w:t>
      </w:r>
    </w:p>
    <w:p>
      <w:pPr>
        <w:pStyle w:val="Listenabsatz"/>
        <w:numPr>
          <w:ilvl w:val="0"/>
          <w:numId w:val="14"/>
        </w:numPr>
        <w:ind w:left="714" w:hanging="357"/>
      </w:pPr>
      <w:proofErr w:type="spellStart"/>
      <w:r>
        <w:t>Besicherungsvereinbarungen</w:t>
      </w:r>
      <w:proofErr w:type="spellEnd"/>
    </w:p>
    <w:p>
      <w:pPr>
        <w:spacing w:before="240"/>
        <w:ind w:left="363"/>
      </w:pPr>
      <w:r>
        <w:t xml:space="preserve">Im Vergleich zum Vorjahr (3,0 %) hat sich die Asset </w:t>
      </w:r>
      <w:proofErr w:type="spellStart"/>
      <w:r>
        <w:t>Encumbrance</w:t>
      </w:r>
      <w:proofErr w:type="spellEnd"/>
      <w:r>
        <w:t xml:space="preserve"> Quote erheblich erhöht, da erstmals die Weiterleitungskredite aus öffentlichen Fördermitteln mit einbezogen werden. Die Besicherung erfolgt zu den Bedingungen, wie sie </w:t>
      </w:r>
      <w:proofErr w:type="spellStart"/>
      <w:r>
        <w:t>überlicherweise</w:t>
      </w:r>
      <w:proofErr w:type="spellEnd"/>
      <w:r>
        <w:t xml:space="preserve"> mit den Förderbanken vereinbart werden. </w:t>
      </w:r>
    </w:p>
    <w:p>
      <w:pPr>
        <w:pStyle w:val="berschrift1"/>
        <w:rPr>
          <w:b w:val="0"/>
        </w:rPr>
      </w:pPr>
      <w:bookmarkStart w:id="25" w:name="_Toc436146687"/>
      <w:r>
        <w:rPr>
          <w:b w:val="0"/>
        </w:rPr>
        <w:t>Verschuldung (Art. 451)</w:t>
      </w:r>
      <w:bookmarkEnd w:id="25"/>
    </w:p>
    <w:p>
      <w:pPr>
        <w:pStyle w:val="Randziffer"/>
      </w:pPr>
      <w:r>
        <w:t>Seit dem 1. Januar 2015 ist eine kreditinstitutsindividuelle, nicht risikobasierte Verschuldungsquote (derzeit Beobachtungsgröße) zu ermitteln und offenzulegen. Nachfolgend stellen wir die Positionen zur Ermittlung dieser Verschuldungsquote dar:</w:t>
      </w:r>
    </w:p>
    <w:tbl>
      <w:tblPr>
        <w:tblW w:w="9573" w:type="dxa"/>
        <w:tblInd w:w="55" w:type="dxa"/>
        <w:tblCellMar>
          <w:left w:w="70" w:type="dxa"/>
          <w:right w:w="70" w:type="dxa"/>
        </w:tblCellMar>
        <w:tblLook w:val="04A0" w:firstRow="1" w:lastRow="0" w:firstColumn="1" w:lastColumn="0" w:noHBand="0" w:noVBand="1"/>
      </w:tblPr>
      <w:tblGrid>
        <w:gridCol w:w="207"/>
        <w:gridCol w:w="7179"/>
        <w:gridCol w:w="1985"/>
        <w:gridCol w:w="202"/>
      </w:tblGrid>
      <w:tr>
        <w:trPr>
          <w:gridAfter w:val="2"/>
          <w:wAfter w:w="2187" w:type="dxa"/>
          <w:trHeight w:val="505"/>
        </w:trPr>
        <w:tc>
          <w:tcPr>
            <w:tcW w:w="7386" w:type="dxa"/>
            <w:gridSpan w:val="2"/>
            <w:tcBorders>
              <w:top w:val="single" w:sz="4" w:space="0" w:color="auto"/>
              <w:left w:val="single" w:sz="4" w:space="0" w:color="auto"/>
              <w:bottom w:val="single" w:sz="4" w:space="0" w:color="auto"/>
              <w:right w:val="single" w:sz="4" w:space="0" w:color="auto"/>
            </w:tcBorders>
            <w:shd w:val="clear" w:color="auto" w:fill="00B0F0"/>
            <w:noWrap/>
            <w:vAlign w:val="center"/>
            <w:hideMark/>
          </w:tcPr>
          <w:p>
            <w:pPr>
              <w:spacing w:before="0" w:after="0"/>
              <w:jc w:val="left"/>
              <w:rPr>
                <w:rFonts w:cs="Arial"/>
                <w:b/>
                <w:bCs/>
                <w:color w:val="FFFFFF" w:themeColor="background1"/>
                <w:sz w:val="20"/>
                <w:szCs w:val="20"/>
              </w:rPr>
            </w:pPr>
            <w:bookmarkStart w:id="26" w:name="RANGE!A1:E69"/>
            <w:r>
              <w:rPr>
                <w:rFonts w:cs="Arial"/>
                <w:b/>
                <w:bCs/>
                <w:color w:val="FFFFFF" w:themeColor="background1"/>
                <w:sz w:val="20"/>
                <w:szCs w:val="20"/>
              </w:rPr>
              <w:t>Summarische Abstimmung zwischen bilanzierten Aktiva und Risiko-</w:t>
            </w:r>
          </w:p>
          <w:p>
            <w:pPr>
              <w:spacing w:before="0" w:after="0"/>
              <w:jc w:val="left"/>
              <w:rPr>
                <w:rFonts w:cs="Arial"/>
                <w:b/>
                <w:bCs/>
                <w:sz w:val="20"/>
                <w:szCs w:val="20"/>
              </w:rPr>
            </w:pPr>
            <w:proofErr w:type="spellStart"/>
            <w:r>
              <w:rPr>
                <w:rFonts w:cs="Arial"/>
                <w:b/>
                <w:bCs/>
                <w:color w:val="FFFFFF" w:themeColor="background1"/>
                <w:sz w:val="20"/>
                <w:szCs w:val="20"/>
              </w:rPr>
              <w:t>positionen</w:t>
            </w:r>
            <w:proofErr w:type="spellEnd"/>
            <w:r>
              <w:rPr>
                <w:rFonts w:cs="Arial"/>
                <w:b/>
                <w:bCs/>
                <w:color w:val="FFFFFF" w:themeColor="background1"/>
                <w:sz w:val="20"/>
                <w:szCs w:val="20"/>
              </w:rPr>
              <w:t xml:space="preserve"> für die </w:t>
            </w:r>
            <w:bookmarkEnd w:id="26"/>
            <w:r>
              <w:rPr>
                <w:rFonts w:cs="Arial"/>
                <w:b/>
                <w:bCs/>
                <w:color w:val="FFFFFF" w:themeColor="background1"/>
                <w:sz w:val="20"/>
                <w:szCs w:val="20"/>
              </w:rPr>
              <w:t>Verschuldungsquote</w:t>
            </w:r>
          </w:p>
        </w:tc>
      </w:tr>
      <w:tr>
        <w:trPr>
          <w:trHeight w:val="480"/>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xml:space="preserve">        </w:t>
            </w:r>
          </w:p>
        </w:tc>
        <w:tc>
          <w:tcPr>
            <w:tcW w:w="7179"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center"/>
              <w:rPr>
                <w:rFonts w:cs="Arial"/>
                <w:b/>
                <w:bCs/>
                <w:sz w:val="18"/>
                <w:szCs w:val="18"/>
              </w:rPr>
            </w:pPr>
            <w:r>
              <w:rPr>
                <w:rFonts w:cs="Arial"/>
                <w:b/>
                <w:bCs/>
                <w:sz w:val="18"/>
                <w:szCs w:val="18"/>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cs="Arial"/>
                <w:b/>
                <w:bCs/>
                <w:sz w:val="18"/>
                <w:szCs w:val="18"/>
              </w:rPr>
            </w:pPr>
            <w:r>
              <w:rPr>
                <w:rFonts w:cs="Arial"/>
                <w:b/>
                <w:bCs/>
                <w:sz w:val="18"/>
                <w:szCs w:val="18"/>
              </w:rPr>
              <w:t>Anzusetzende Werte (TEUR)</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276"/>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single" w:sz="4" w:space="0" w:color="auto"/>
              <w:left w:val="nil"/>
              <w:bottom w:val="single" w:sz="4" w:space="0" w:color="auto"/>
              <w:right w:val="nil"/>
            </w:tcBorders>
            <w:shd w:val="clear" w:color="auto" w:fill="auto"/>
            <w:noWrap/>
            <w:vAlign w:val="center"/>
            <w:hideMark/>
          </w:tcPr>
          <w:p>
            <w:pPr>
              <w:spacing w:before="0" w:after="0"/>
              <w:jc w:val="left"/>
              <w:rPr>
                <w:rFonts w:cs="Arial"/>
                <w:sz w:val="18"/>
                <w:szCs w:val="18"/>
              </w:rPr>
            </w:pPr>
            <w:r>
              <w:rPr>
                <w:rFonts w:cs="Arial"/>
                <w:sz w:val="18"/>
                <w:szCs w:val="18"/>
              </w:rPr>
              <w:t>Summe der Aktiva laut veröffentlichtem Abschluss</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700.889</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456"/>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Anpassung für Unternehmen, die für Rechnungszwecke konsolidiert werden, aber nicht dem aufsichtsrechtlichen Konsolidierungskreis gehören</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684"/>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(Anpassung für Treuhandvermögen, das gemäß den geltenden Rechnungslegungsvorschriften in der Bilanz ausgewiesen wird, aber gemäß Artikel 429 Absatz 13 der Verordnung (EU) Nr. 575/2013 bei der Gesamtrisikopositionsmessgröße der Verschuldungsquote unberücksichtigt bleibt)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- 647</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276"/>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Anpassungen für derivative Finanzinstrumente</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869</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315"/>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Anpassungen für Wertpapierfinanzierungsgeschäfte (SFT)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456"/>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Anpassung für außerbilanzielle Posten (d.h. Umrechnung außerbilanzieller Risikopositionen in Kreditäquivalenzbeträge)</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29.737</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495"/>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(Anpassung für gruppeninterne Risikopositionen, die gemäß Artikel 429 Absatz 7 der Verordnung (EU) Nr. 575/2013 bei der Gesamtrisikopositionsmessgröße der Verschuldungsquote unberücksichtigt bleiben)</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456"/>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(Anpassungen für Risikopositionen, die gemäß Artikel 429 Absatz 14 der Verordnung (EU) Nr. 575/2013 bei der Gesamtrisikopositionsmessgröße der Verschuldungsquote unberücksichtigt bleiben)</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noWrap/>
            <w:vAlign w:val="center"/>
            <w:hideMark/>
          </w:tcPr>
          <w:p>
            <w:pPr>
              <w:spacing w:before="0" w:after="0"/>
              <w:jc w:val="left"/>
              <w:rPr>
                <w:rFonts w:cs="Arial"/>
                <w:sz w:val="18"/>
                <w:szCs w:val="18"/>
              </w:rPr>
            </w:pPr>
            <w:r>
              <w:rPr>
                <w:rFonts w:cs="Arial"/>
                <w:sz w:val="18"/>
                <w:szCs w:val="18"/>
              </w:rPr>
              <w:t>Sonstige Anpassungen ("Fully-</w:t>
            </w:r>
            <w:proofErr w:type="spellStart"/>
            <w:r>
              <w:rPr>
                <w:rFonts w:cs="Arial"/>
                <w:sz w:val="18"/>
                <w:szCs w:val="18"/>
              </w:rPr>
              <w:t>phased</w:t>
            </w:r>
            <w:proofErr w:type="spellEnd"/>
            <w:r>
              <w:rPr>
                <w:rFonts w:cs="Arial"/>
                <w:sz w:val="18"/>
                <w:szCs w:val="18"/>
              </w:rPr>
              <w:t>-in" Definition)</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6.601</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D9D9D9" w:themeFill="background1" w:themeFillShade="D9"/>
            <w:noWrap/>
            <w:vAlign w:val="center"/>
            <w:hideMark/>
          </w:tcPr>
          <w:p>
            <w:pPr>
              <w:spacing w:before="0" w:after="0"/>
              <w:jc w:val="left"/>
              <w:rPr>
                <w:rFonts w:cs="Arial"/>
                <w:b/>
                <w:bCs/>
                <w:sz w:val="18"/>
                <w:szCs w:val="18"/>
              </w:rPr>
            </w:pPr>
            <w:r>
              <w:rPr>
                <w:rFonts w:cs="Arial"/>
                <w:b/>
                <w:bCs/>
                <w:sz w:val="18"/>
                <w:szCs w:val="18"/>
              </w:rPr>
              <w:t>Gesamtrisikopositionsmessgröße der Verschuldungsquote</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pPr>
              <w:spacing w:before="0" w:after="0"/>
              <w:ind w:right="255"/>
              <w:jc w:val="right"/>
              <w:rPr>
                <w:rFonts w:cs="Arial"/>
                <w:b/>
                <w:sz w:val="18"/>
                <w:szCs w:val="18"/>
              </w:rPr>
            </w:pPr>
            <w:r>
              <w:rPr>
                <w:rFonts w:cs="Arial"/>
                <w:b/>
                <w:sz w:val="18"/>
                <w:szCs w:val="18"/>
              </w:rPr>
              <w:t>737.449</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145"/>
        </w:trPr>
        <w:tc>
          <w:tcPr>
            <w:tcW w:w="207" w:type="dxa"/>
            <w:tcBorders>
              <w:top w:val="single" w:sz="4" w:space="0" w:color="auto"/>
              <w:bottom w:val="nil"/>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nil"/>
              <w:right w:val="nil"/>
            </w:tcBorders>
            <w:shd w:val="clear" w:color="000000" w:fill="FFFFFF"/>
            <w:noWrap/>
            <w:vAlign w:val="center"/>
            <w:hideMark/>
          </w:tcPr>
          <w:p>
            <w:pPr>
              <w:spacing w:before="0" w:after="0"/>
              <w:jc w:val="left"/>
              <w:rPr>
                <w:rFonts w:cs="Arial"/>
                <w:szCs w:val="22"/>
              </w:rPr>
            </w:pPr>
            <w:r>
              <w:rPr>
                <w:rFonts w:cs="Arial"/>
                <w:szCs w:val="22"/>
              </w:rPr>
              <w:t> </w:t>
            </w:r>
          </w:p>
        </w:tc>
        <w:tc>
          <w:tcPr>
            <w:tcW w:w="1985" w:type="dxa"/>
            <w:tcBorders>
              <w:top w:val="nil"/>
              <w:left w:val="nil"/>
              <w:bottom w:val="nil"/>
              <w:right w:val="nil"/>
            </w:tcBorders>
            <w:shd w:val="clear" w:color="000000" w:fill="FFFFFF"/>
            <w:noWrap/>
            <w:vAlign w:val="center"/>
            <w:hideMark/>
          </w:tcPr>
          <w:p>
            <w:pPr>
              <w:spacing w:before="0" w:after="0"/>
              <w:jc w:val="left"/>
              <w:rPr>
                <w:rFonts w:cs="Arial"/>
                <w:szCs w:val="22"/>
              </w:rPr>
            </w:pPr>
            <w:r>
              <w:rPr>
                <w:rFonts w:cs="Arial"/>
                <w:szCs w:val="22"/>
              </w:rPr>
              <w:t> </w:t>
            </w:r>
          </w:p>
        </w:tc>
        <w:tc>
          <w:tcPr>
            <w:tcW w:w="202" w:type="dxa"/>
            <w:tcBorders>
              <w:top w:val="nil"/>
              <w:left w:val="nil"/>
              <w:bottom w:val="nil"/>
            </w:tcBorders>
            <w:shd w:val="clear" w:color="000000" w:fill="FFFFFF"/>
            <w:noWrap/>
            <w:vAlign w:val="center"/>
            <w:hideMark/>
          </w:tcPr>
          <w:p>
            <w:pPr>
              <w:spacing w:before="0" w:after="0"/>
              <w:jc w:val="left"/>
              <w:rPr>
                <w:rFonts w:cs="Arial"/>
                <w:szCs w:val="22"/>
              </w:rPr>
            </w:pPr>
            <w:r>
              <w:rPr>
                <w:rFonts w:cs="Arial"/>
                <w:szCs w:val="22"/>
              </w:rPr>
              <w:t> </w:t>
            </w:r>
          </w:p>
        </w:tc>
      </w:tr>
      <w:tr>
        <w:trPr>
          <w:trHeight w:val="135"/>
        </w:trPr>
        <w:tc>
          <w:tcPr>
            <w:tcW w:w="207" w:type="dxa"/>
            <w:tcBorders>
              <w:top w:val="nil"/>
              <w:bottom w:val="single" w:sz="8" w:space="0" w:color="auto"/>
              <w:right w:val="nil"/>
            </w:tcBorders>
            <w:shd w:val="clear" w:color="000000" w:fill="FFFFFF"/>
            <w:noWrap/>
            <w:vAlign w:val="center"/>
            <w:hideMark/>
          </w:tcPr>
          <w:p>
            <w:pPr>
              <w:spacing w:before="0" w:after="0"/>
              <w:jc w:val="left"/>
              <w:rPr>
                <w:rFonts w:cs="Arial"/>
                <w:szCs w:val="22"/>
              </w:rPr>
            </w:pPr>
          </w:p>
        </w:tc>
        <w:tc>
          <w:tcPr>
            <w:tcW w:w="7179" w:type="dxa"/>
            <w:tcBorders>
              <w:top w:val="nil"/>
              <w:left w:val="nil"/>
              <w:bottom w:val="single" w:sz="8" w:space="0" w:color="auto"/>
              <w:right w:val="nil"/>
            </w:tcBorders>
            <w:shd w:val="clear" w:color="000000" w:fill="FFFFFF"/>
            <w:noWrap/>
            <w:vAlign w:val="center"/>
            <w:hideMark/>
          </w:tcPr>
          <w:p>
            <w:pPr>
              <w:spacing w:before="0" w:after="0"/>
              <w:jc w:val="left"/>
              <w:rPr>
                <w:rFonts w:cs="Arial"/>
                <w:szCs w:val="22"/>
              </w:rPr>
            </w:pPr>
          </w:p>
        </w:tc>
        <w:tc>
          <w:tcPr>
            <w:tcW w:w="1985" w:type="dxa"/>
            <w:tcBorders>
              <w:top w:val="nil"/>
              <w:left w:val="nil"/>
              <w:bottom w:val="nil"/>
              <w:right w:val="nil"/>
            </w:tcBorders>
            <w:shd w:val="clear" w:color="000000" w:fill="FFFFFF"/>
            <w:noWrap/>
            <w:vAlign w:val="center"/>
            <w:hideMark/>
          </w:tcPr>
          <w:p>
            <w:pPr>
              <w:spacing w:before="0" w:after="0"/>
              <w:jc w:val="left"/>
              <w:rPr>
                <w:rFonts w:cs="Arial"/>
                <w:szCs w:val="22"/>
              </w:rPr>
            </w:pPr>
            <w:r>
              <w:rPr>
                <w:rFonts w:cs="Arial"/>
                <w:szCs w:val="22"/>
              </w:rPr>
              <w:t> </w:t>
            </w:r>
          </w:p>
        </w:tc>
        <w:tc>
          <w:tcPr>
            <w:tcW w:w="202" w:type="dxa"/>
            <w:tcBorders>
              <w:top w:val="nil"/>
              <w:left w:val="nil"/>
              <w:bottom w:val="nil"/>
            </w:tcBorders>
            <w:shd w:val="clear" w:color="000000" w:fill="FFFFFF"/>
            <w:noWrap/>
            <w:vAlign w:val="center"/>
            <w:hideMark/>
          </w:tcPr>
          <w:p>
            <w:pPr>
              <w:spacing w:before="0" w:after="0"/>
              <w:jc w:val="left"/>
              <w:rPr>
                <w:rFonts w:cs="Arial"/>
                <w:szCs w:val="22"/>
              </w:rPr>
            </w:pPr>
            <w:r>
              <w:rPr>
                <w:rFonts w:cs="Arial"/>
                <w:szCs w:val="22"/>
              </w:rPr>
              <w:t> </w:t>
            </w:r>
          </w:p>
        </w:tc>
      </w:tr>
      <w:tr>
        <w:trPr>
          <w:gridAfter w:val="2"/>
          <w:wAfter w:w="2187" w:type="dxa"/>
          <w:trHeight w:val="312"/>
        </w:trPr>
        <w:tc>
          <w:tcPr>
            <w:tcW w:w="7386" w:type="dxa"/>
            <w:gridSpan w:val="2"/>
            <w:tcBorders>
              <w:top w:val="single" w:sz="8" w:space="0" w:color="auto"/>
              <w:left w:val="single" w:sz="4" w:space="0" w:color="auto"/>
              <w:bottom w:val="single" w:sz="4" w:space="0" w:color="auto"/>
              <w:right w:val="single" w:sz="4" w:space="0" w:color="auto"/>
            </w:tcBorders>
            <w:shd w:val="clear" w:color="auto" w:fill="00B0F0"/>
            <w:noWrap/>
            <w:vAlign w:val="center"/>
            <w:hideMark/>
          </w:tcPr>
          <w:p>
            <w:pPr>
              <w:spacing w:before="0" w:after="0"/>
              <w:ind w:firstLineChars="100" w:firstLine="201"/>
              <w:jc w:val="left"/>
              <w:rPr>
                <w:rFonts w:cs="Arial"/>
                <w:b/>
                <w:bCs/>
                <w:sz w:val="20"/>
                <w:szCs w:val="20"/>
              </w:rPr>
            </w:pPr>
            <w:r>
              <w:rPr>
                <w:rFonts w:cs="Arial"/>
                <w:b/>
                <w:bCs/>
                <w:color w:val="FFFFFF" w:themeColor="background1"/>
                <w:sz w:val="20"/>
                <w:szCs w:val="20"/>
              </w:rPr>
              <w:t>Einheitliche Offenlegung der Verschuldungsquote</w:t>
            </w:r>
          </w:p>
        </w:tc>
      </w:tr>
      <w:tr>
        <w:trPr>
          <w:trHeight w:val="960"/>
        </w:trPr>
        <w:tc>
          <w:tcPr>
            <w:tcW w:w="207" w:type="dxa"/>
            <w:tcBorders>
              <w:top w:val="nil"/>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noWrap/>
            <w:vAlign w:val="center"/>
            <w:hideMark/>
          </w:tcPr>
          <w:p>
            <w:pPr>
              <w:spacing w:before="0" w:after="0"/>
              <w:jc w:val="left"/>
              <w:rPr>
                <w:rFonts w:cs="Arial"/>
                <w:sz w:val="20"/>
                <w:szCs w:val="20"/>
              </w:rPr>
            </w:pPr>
            <w:r>
              <w:rPr>
                <w:rFonts w:cs="Arial"/>
                <w:sz w:val="20"/>
                <w:szCs w:val="2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cs="Arial"/>
                <w:b/>
                <w:bCs/>
                <w:sz w:val="18"/>
                <w:szCs w:val="18"/>
              </w:rPr>
            </w:pPr>
            <w:r>
              <w:rPr>
                <w:rFonts w:cs="Arial"/>
                <w:b/>
                <w:bCs/>
                <w:sz w:val="18"/>
                <w:szCs w:val="18"/>
              </w:rPr>
              <w:t>Risikopositionen für die CRR-Verschuldungsquote (TEUR)</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p>
        </w:tc>
      </w:tr>
      <w:tr>
        <w:trPr>
          <w:trHeight w:val="276"/>
        </w:trPr>
        <w:tc>
          <w:tcPr>
            <w:tcW w:w="20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pPr>
              <w:spacing w:before="0" w:after="0"/>
              <w:jc w:val="left"/>
              <w:rPr>
                <w:rFonts w:cs="Arial"/>
                <w:szCs w:val="22"/>
              </w:rPr>
            </w:pPr>
            <w:r>
              <w:rPr>
                <w:rFonts w:cs="Arial"/>
                <w:szCs w:val="22"/>
              </w:rPr>
              <w:t> </w:t>
            </w:r>
          </w:p>
        </w:tc>
        <w:tc>
          <w:tcPr>
            <w:tcW w:w="916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pPr>
              <w:spacing w:before="0" w:after="0"/>
              <w:jc w:val="center"/>
              <w:rPr>
                <w:rFonts w:cs="Arial"/>
                <w:b/>
                <w:bCs/>
                <w:sz w:val="18"/>
                <w:szCs w:val="18"/>
              </w:rPr>
            </w:pPr>
            <w:r>
              <w:rPr>
                <w:rFonts w:cs="Arial"/>
                <w:b/>
                <w:bCs/>
                <w:sz w:val="18"/>
                <w:szCs w:val="18"/>
              </w:rPr>
              <w:t>Bilanzwirksame Risikopositionen (ausgenommen Derivate und Wertpapierfinanzierungsgeschäfte (SFT))</w:t>
            </w:r>
          </w:p>
        </w:tc>
        <w:tc>
          <w:tcPr>
            <w:tcW w:w="202" w:type="dxa"/>
            <w:tcBorders>
              <w:top w:val="nil"/>
              <w:left w:val="single" w:sz="4" w:space="0" w:color="auto"/>
              <w:bottom w:val="nil"/>
            </w:tcBorders>
            <w:shd w:val="clear" w:color="000000" w:fill="FFFFFF"/>
            <w:noWrap/>
            <w:vAlign w:val="center"/>
            <w:hideMark/>
          </w:tcPr>
          <w:p>
            <w:pPr>
              <w:spacing w:before="0" w:after="0"/>
              <w:jc w:val="left"/>
              <w:rPr>
                <w:rFonts w:cs="Arial"/>
                <w:sz w:val="20"/>
                <w:szCs w:val="20"/>
              </w:rPr>
            </w:pPr>
          </w:p>
        </w:tc>
      </w:tr>
      <w:tr>
        <w:trPr>
          <w:trHeight w:val="456"/>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sz w:val="18"/>
                <w:szCs w:val="18"/>
              </w:rPr>
            </w:pPr>
            <w:r>
              <w:rPr>
                <w:rFonts w:cs="Arial"/>
                <w:sz w:val="18"/>
                <w:szCs w:val="18"/>
              </w:rPr>
              <w:t>Bilanzwirksame Positionen (ohne Derivate, Wertpapierfinanzierungsgeschäfte (SFT) und Treuhandvermögen, aber einschließlich Sicherheiten)</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706.904</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p>
        </w:tc>
      </w:tr>
      <w:tr>
        <w:trPr>
          <w:trHeight w:val="276"/>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sz w:val="18"/>
                <w:szCs w:val="18"/>
              </w:rPr>
            </w:pPr>
            <w:r>
              <w:rPr>
                <w:rFonts w:cs="Arial"/>
                <w:sz w:val="18"/>
                <w:szCs w:val="18"/>
              </w:rPr>
              <w:t>(Bei der Ermittlung des Kernkapitals abgezogene Aktivbeträge)</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- 60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p>
        </w:tc>
      </w:tr>
      <w:tr>
        <w:trPr>
          <w:trHeight w:val="48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b/>
                <w:bCs/>
                <w:sz w:val="18"/>
                <w:szCs w:val="18"/>
              </w:rPr>
            </w:pPr>
            <w:r>
              <w:rPr>
                <w:rFonts w:cs="Arial"/>
                <w:b/>
                <w:bCs/>
                <w:sz w:val="18"/>
                <w:szCs w:val="18"/>
              </w:rPr>
              <w:t>Summe der bilanzwirksamen Risikopositionen (ohne Derivate, Wertpapierfinanzierungsgeschäfte (SFT) und Treuhandvermögen)</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b/>
                <w:sz w:val="18"/>
                <w:szCs w:val="18"/>
              </w:rPr>
            </w:pPr>
            <w:r>
              <w:rPr>
                <w:rFonts w:cs="Arial"/>
                <w:b/>
                <w:sz w:val="18"/>
                <w:szCs w:val="18"/>
              </w:rPr>
              <w:t>706.844</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p>
        </w:tc>
      </w:tr>
      <w:tr>
        <w:trPr>
          <w:trHeight w:val="276"/>
        </w:trPr>
        <w:tc>
          <w:tcPr>
            <w:tcW w:w="20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pPr>
              <w:spacing w:before="0" w:after="0"/>
              <w:jc w:val="left"/>
              <w:rPr>
                <w:rFonts w:cs="Arial"/>
                <w:szCs w:val="22"/>
              </w:rPr>
            </w:pPr>
            <w:r>
              <w:rPr>
                <w:rFonts w:cs="Arial"/>
                <w:szCs w:val="22"/>
              </w:rPr>
              <w:t> </w:t>
            </w:r>
          </w:p>
        </w:tc>
        <w:tc>
          <w:tcPr>
            <w:tcW w:w="916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pPr>
              <w:spacing w:before="0" w:after="0"/>
              <w:jc w:val="center"/>
              <w:rPr>
                <w:rFonts w:cs="Arial"/>
                <w:b/>
                <w:bCs/>
                <w:sz w:val="18"/>
                <w:szCs w:val="18"/>
              </w:rPr>
            </w:pPr>
            <w:r>
              <w:rPr>
                <w:rFonts w:cs="Arial"/>
                <w:b/>
                <w:bCs/>
                <w:sz w:val="18"/>
                <w:szCs w:val="18"/>
              </w:rPr>
              <w:t>Risikopositionen aus Derivaten</w:t>
            </w:r>
          </w:p>
        </w:tc>
        <w:tc>
          <w:tcPr>
            <w:tcW w:w="202" w:type="dxa"/>
            <w:tcBorders>
              <w:top w:val="nil"/>
              <w:left w:val="single" w:sz="4" w:space="0" w:color="auto"/>
              <w:bottom w:val="nil"/>
            </w:tcBorders>
            <w:shd w:val="clear" w:color="000000" w:fill="FFFFFF"/>
            <w:noWrap/>
            <w:vAlign w:val="center"/>
            <w:hideMark/>
          </w:tcPr>
          <w:p>
            <w:pPr>
              <w:spacing w:before="0" w:after="0"/>
              <w:jc w:val="left"/>
              <w:rPr>
                <w:rFonts w:cs="Arial"/>
                <w:sz w:val="20"/>
                <w:szCs w:val="20"/>
              </w:rPr>
            </w:pPr>
          </w:p>
        </w:tc>
      </w:tr>
      <w:tr>
        <w:trPr>
          <w:trHeight w:val="276"/>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Wiederbeschaffungswert aller Derivatgeschäfte (d. h. ohne anrechenbare, in bar erhaltene Nachschüsse)</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6</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p>
        </w:tc>
      </w:tr>
      <w:tr>
        <w:trPr>
          <w:trHeight w:val="480"/>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sz w:val="18"/>
                <w:szCs w:val="18"/>
              </w:rPr>
            </w:pPr>
            <w:r>
              <w:rPr>
                <w:rFonts w:cs="Arial"/>
                <w:sz w:val="18"/>
                <w:szCs w:val="18"/>
              </w:rPr>
              <w:t>Aufschläge für den potenziellen künftigen Wiederbeschaffungswert in Bezug auf alle Derivatgeschäfte (Marktbewertungsmethode)</w:t>
            </w:r>
          </w:p>
        </w:tc>
        <w:tc>
          <w:tcPr>
            <w:tcW w:w="1985" w:type="dxa"/>
            <w:tcBorders>
              <w:top w:val="nil"/>
              <w:left w:val="nil"/>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862</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p>
        </w:tc>
      </w:tr>
      <w:tr>
        <w:trPr>
          <w:trHeight w:val="300"/>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cs="Arial"/>
                <w:sz w:val="18"/>
                <w:szCs w:val="18"/>
              </w:rPr>
            </w:pPr>
            <w:r>
              <w:rPr>
                <w:rFonts w:cs="Arial"/>
                <w:sz w:val="18"/>
                <w:szCs w:val="18"/>
              </w:rPr>
              <w:t>Risikoposition gemäß Ursprungsrisikomethode</w:t>
            </w:r>
          </w:p>
        </w:tc>
        <w:tc>
          <w:tcPr>
            <w:tcW w:w="1985" w:type="dxa"/>
            <w:tcBorders>
              <w:top w:val="nil"/>
              <w:left w:val="nil"/>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p>
        </w:tc>
      </w:tr>
      <w:tr>
        <w:trPr>
          <w:trHeight w:val="669"/>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Hinzurechnung des Betrags von im Zusammenhang mit Derivaten gestellten Sicherheiten, die nach dem geltenden Rechnungsrahmen von den Bilanzaktiva abgezogen werden</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p>
        </w:tc>
      </w:tr>
      <w:tr>
        <w:trPr>
          <w:trHeight w:val="300"/>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cs="Arial"/>
                <w:sz w:val="18"/>
                <w:szCs w:val="18"/>
              </w:rPr>
            </w:pPr>
            <w:r>
              <w:rPr>
                <w:rFonts w:cs="Arial"/>
                <w:sz w:val="18"/>
                <w:szCs w:val="18"/>
              </w:rPr>
              <w:t>(Abzüge von Forderungen für in bar geleistete Nachschüsse bei Derivatgeschäften)</w:t>
            </w:r>
          </w:p>
        </w:tc>
        <w:tc>
          <w:tcPr>
            <w:tcW w:w="1985" w:type="dxa"/>
            <w:tcBorders>
              <w:top w:val="nil"/>
              <w:left w:val="nil"/>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p>
        </w:tc>
      </w:tr>
      <w:tr>
        <w:trPr>
          <w:trHeight w:val="301"/>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cs="Arial"/>
                <w:sz w:val="18"/>
                <w:szCs w:val="18"/>
              </w:rPr>
            </w:pPr>
            <w:r>
              <w:rPr>
                <w:rFonts w:cs="Arial"/>
                <w:sz w:val="18"/>
                <w:szCs w:val="18"/>
              </w:rPr>
              <w:t xml:space="preserve">(Ausgeschlossener ZGP-Teil </w:t>
            </w:r>
            <w:proofErr w:type="spellStart"/>
            <w:r>
              <w:rPr>
                <w:rFonts w:cs="Arial"/>
                <w:sz w:val="18"/>
                <w:szCs w:val="18"/>
              </w:rPr>
              <w:t>kundengeclearter</w:t>
            </w:r>
            <w:proofErr w:type="spellEnd"/>
            <w:r>
              <w:rPr>
                <w:rFonts w:cs="Arial"/>
                <w:sz w:val="18"/>
                <w:szCs w:val="18"/>
              </w:rPr>
              <w:t xml:space="preserve"> Handelsrisikopositionen)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tcBorders>
            <w:shd w:val="clear" w:color="000000" w:fill="FFFFFF"/>
            <w:noWrap/>
            <w:vAlign w:val="center"/>
            <w:hideMark/>
          </w:tcPr>
          <w:p>
            <w:pPr>
              <w:spacing w:before="0" w:after="0"/>
              <w:jc w:val="left"/>
              <w:rPr>
                <w:rFonts w:cs="Arial"/>
                <w:sz w:val="20"/>
                <w:szCs w:val="20"/>
              </w:rPr>
            </w:pPr>
          </w:p>
        </w:tc>
      </w:tr>
      <w:tr>
        <w:trPr>
          <w:trHeight w:val="300"/>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left"/>
              <w:rPr>
                <w:rFonts w:cs="Arial"/>
                <w:sz w:val="18"/>
                <w:szCs w:val="18"/>
              </w:rPr>
            </w:pPr>
            <w:r>
              <w:rPr>
                <w:rFonts w:cs="Arial"/>
                <w:sz w:val="18"/>
                <w:szCs w:val="18"/>
              </w:rPr>
              <w:t>Angepasster effektiver Nominalwert geschriebener Kreditderivaten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p>
        </w:tc>
      </w:tr>
      <w:tr>
        <w:trPr>
          <w:trHeight w:val="552"/>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cs="Arial"/>
                <w:sz w:val="18"/>
                <w:szCs w:val="18"/>
              </w:rPr>
            </w:pPr>
            <w:r>
              <w:rPr>
                <w:rFonts w:cs="Arial"/>
                <w:sz w:val="18"/>
                <w:szCs w:val="18"/>
              </w:rPr>
              <w:t>(Aufrechnungen der angepassten effektiven Nominalwerte und Abzüge der Aufschläge für geschriebene Kreditderivate)</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p>
        </w:tc>
      </w:tr>
      <w:tr>
        <w:trPr>
          <w:trHeight w:val="30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noWrap/>
            <w:vAlign w:val="center"/>
            <w:hideMark/>
          </w:tcPr>
          <w:p>
            <w:pPr>
              <w:spacing w:before="0" w:after="0"/>
              <w:jc w:val="left"/>
              <w:rPr>
                <w:rFonts w:cs="Arial"/>
                <w:b/>
                <w:bCs/>
                <w:sz w:val="18"/>
                <w:szCs w:val="18"/>
              </w:rPr>
            </w:pPr>
            <w:r>
              <w:rPr>
                <w:rFonts w:cs="Arial"/>
                <w:b/>
                <w:bCs/>
                <w:sz w:val="18"/>
                <w:szCs w:val="18"/>
              </w:rPr>
              <w:t>Summe der Risikopositionen aus Derivaten</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b/>
                <w:sz w:val="18"/>
                <w:szCs w:val="18"/>
              </w:rPr>
            </w:pPr>
            <w:r>
              <w:rPr>
                <w:rFonts w:cs="Arial"/>
                <w:b/>
                <w:sz w:val="18"/>
                <w:szCs w:val="18"/>
              </w:rPr>
              <w:t>869</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p>
        </w:tc>
      </w:tr>
      <w:tr>
        <w:trPr>
          <w:trHeight w:val="276"/>
        </w:trPr>
        <w:tc>
          <w:tcPr>
            <w:tcW w:w="20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pPr>
              <w:spacing w:before="0" w:after="0"/>
              <w:jc w:val="left"/>
              <w:rPr>
                <w:rFonts w:cs="Arial"/>
                <w:szCs w:val="22"/>
              </w:rPr>
            </w:pPr>
            <w:r>
              <w:rPr>
                <w:rFonts w:cs="Arial"/>
                <w:szCs w:val="22"/>
              </w:rPr>
              <w:t> </w:t>
            </w:r>
          </w:p>
        </w:tc>
        <w:tc>
          <w:tcPr>
            <w:tcW w:w="916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pPr>
              <w:spacing w:before="0" w:after="0"/>
              <w:jc w:val="center"/>
              <w:rPr>
                <w:rFonts w:cs="Arial"/>
                <w:b/>
                <w:bCs/>
                <w:sz w:val="18"/>
                <w:szCs w:val="18"/>
              </w:rPr>
            </w:pPr>
            <w:r>
              <w:rPr>
                <w:rFonts w:cs="Arial"/>
                <w:b/>
                <w:bCs/>
                <w:sz w:val="18"/>
                <w:szCs w:val="18"/>
              </w:rPr>
              <w:t>Risikopositionen aus Wertpapierfinanzierungsgeschäften (SFT)</w:t>
            </w:r>
          </w:p>
        </w:tc>
        <w:tc>
          <w:tcPr>
            <w:tcW w:w="202" w:type="dxa"/>
            <w:tcBorders>
              <w:top w:val="nil"/>
              <w:left w:val="single" w:sz="4" w:space="0" w:color="auto"/>
              <w:bottom w:val="nil"/>
            </w:tcBorders>
            <w:shd w:val="clear" w:color="000000" w:fill="FFFFFF"/>
            <w:noWrap/>
            <w:vAlign w:val="center"/>
            <w:hideMark/>
          </w:tcPr>
          <w:p>
            <w:pPr>
              <w:spacing w:before="0" w:after="0"/>
              <w:jc w:val="left"/>
              <w:rPr>
                <w:rFonts w:cs="Arial"/>
                <w:sz w:val="20"/>
                <w:szCs w:val="20"/>
              </w:rPr>
            </w:pPr>
          </w:p>
        </w:tc>
      </w:tr>
      <w:tr>
        <w:trPr>
          <w:trHeight w:val="480"/>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tcPr>
          <w:p>
            <w:pPr>
              <w:spacing w:before="0" w:after="0"/>
              <w:jc w:val="left"/>
              <w:rPr>
                <w:rFonts w:cs="Arial"/>
                <w:sz w:val="18"/>
                <w:szCs w:val="18"/>
              </w:rPr>
            </w:pPr>
            <w:r>
              <w:rPr>
                <w:rFonts w:cs="Arial"/>
                <w:sz w:val="18"/>
                <w:szCs w:val="18"/>
              </w:rPr>
              <w:t>Brutto-Aktiva aus SFT (ohne Anerkennung von Netting), nach Bereinigung um als Verkauf verbuchte Geschäfte</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p>
        </w:tc>
      </w:tr>
      <w:tr>
        <w:trPr>
          <w:trHeight w:val="510"/>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(Aufgerechnete Beträge von Barverbindlichkeiten und -forderungen aus Brutto-Aktiva aus SFT)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276"/>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Gegenparteiausfallrisikoposition für SFT-Aktiva</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456"/>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Abweichende Regelung für SFT: Gegenparteiausfallrisikoposition gemäß Art. 429b Abs. 4 und Art. 222 der Verordnung (EU) Nr. 575/2013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Risikopositionen aus als Beauftragter getätigten Geschäften</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301"/>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 xml:space="preserve">(Ausgeschlossener ZGP-Teil von </w:t>
            </w:r>
            <w:proofErr w:type="spellStart"/>
            <w:r>
              <w:rPr>
                <w:rFonts w:cs="Arial"/>
                <w:sz w:val="18"/>
                <w:szCs w:val="18"/>
              </w:rPr>
              <w:t>kundengeclearten</w:t>
            </w:r>
            <w:proofErr w:type="spellEnd"/>
            <w:r>
              <w:rPr>
                <w:rFonts w:cs="Arial"/>
                <w:sz w:val="18"/>
                <w:szCs w:val="18"/>
              </w:rPr>
              <w:t xml:space="preserve"> SFT-Risikopositionen)</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527"/>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noWrap/>
            <w:vAlign w:val="center"/>
            <w:hideMark/>
          </w:tcPr>
          <w:p>
            <w:pPr>
              <w:spacing w:before="0" w:after="0"/>
              <w:jc w:val="left"/>
              <w:rPr>
                <w:rFonts w:cs="Arial"/>
                <w:b/>
                <w:bCs/>
                <w:sz w:val="18"/>
                <w:szCs w:val="18"/>
              </w:rPr>
            </w:pPr>
            <w:r>
              <w:rPr>
                <w:rFonts w:cs="Arial"/>
                <w:b/>
                <w:bCs/>
                <w:sz w:val="18"/>
                <w:szCs w:val="18"/>
              </w:rPr>
              <w:t>Summe der Risikopositionen aus Wertpapierfinanzierungsgeschäften (Summe der Zeilen 12 bis 15a)</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276"/>
        </w:trPr>
        <w:tc>
          <w:tcPr>
            <w:tcW w:w="20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pPr>
              <w:spacing w:before="0" w:after="0"/>
              <w:jc w:val="left"/>
              <w:rPr>
                <w:rFonts w:cs="Arial"/>
                <w:szCs w:val="22"/>
              </w:rPr>
            </w:pPr>
            <w:r>
              <w:rPr>
                <w:rFonts w:cs="Arial"/>
                <w:szCs w:val="22"/>
              </w:rPr>
              <w:t> </w:t>
            </w:r>
          </w:p>
        </w:tc>
        <w:tc>
          <w:tcPr>
            <w:tcW w:w="916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pPr>
              <w:spacing w:before="0" w:after="0"/>
              <w:jc w:val="center"/>
              <w:rPr>
                <w:rFonts w:cs="Arial"/>
                <w:b/>
                <w:bCs/>
                <w:sz w:val="18"/>
                <w:szCs w:val="18"/>
              </w:rPr>
            </w:pPr>
            <w:r>
              <w:rPr>
                <w:rFonts w:cs="Arial"/>
                <w:b/>
                <w:bCs/>
                <w:sz w:val="18"/>
                <w:szCs w:val="18"/>
              </w:rPr>
              <w:t>Sonstige außerbilanzielle Risikopositionen</w:t>
            </w:r>
          </w:p>
        </w:tc>
        <w:tc>
          <w:tcPr>
            <w:tcW w:w="202" w:type="dxa"/>
            <w:tcBorders>
              <w:top w:val="nil"/>
              <w:left w:val="single" w:sz="4" w:space="0" w:color="auto"/>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cs="Arial"/>
                <w:sz w:val="18"/>
                <w:szCs w:val="18"/>
              </w:rPr>
            </w:pPr>
            <w:r>
              <w:rPr>
                <w:rFonts w:cs="Arial"/>
                <w:sz w:val="18"/>
                <w:szCs w:val="18"/>
              </w:rPr>
              <w:t>Außerbilanzielle Risikopositionen zum Bruttonominalwert</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113.832</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cs="Arial"/>
                <w:sz w:val="18"/>
                <w:szCs w:val="18"/>
              </w:rPr>
            </w:pPr>
            <w:r>
              <w:rPr>
                <w:rFonts w:cs="Arial"/>
                <w:sz w:val="18"/>
                <w:szCs w:val="18"/>
              </w:rPr>
              <w:t>(Anpassungen für die Umrechnung in Kreditäquivalenzbeträge)</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- 84.096</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noWrap/>
            <w:vAlign w:val="center"/>
            <w:hideMark/>
          </w:tcPr>
          <w:p>
            <w:pPr>
              <w:spacing w:before="0" w:after="0"/>
              <w:jc w:val="left"/>
              <w:rPr>
                <w:rFonts w:cs="Arial"/>
                <w:b/>
                <w:bCs/>
                <w:sz w:val="18"/>
                <w:szCs w:val="18"/>
              </w:rPr>
            </w:pPr>
            <w:r>
              <w:rPr>
                <w:rFonts w:cs="Arial"/>
                <w:b/>
                <w:bCs/>
                <w:sz w:val="18"/>
                <w:szCs w:val="18"/>
              </w:rPr>
              <w:t xml:space="preserve">Andere außerbilanzielle Risikopositionen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b/>
                <w:sz w:val="18"/>
                <w:szCs w:val="18"/>
              </w:rPr>
            </w:pPr>
            <w:r>
              <w:rPr>
                <w:rFonts w:cs="Arial"/>
                <w:b/>
                <w:sz w:val="18"/>
                <w:szCs w:val="18"/>
              </w:rPr>
              <w:t>29.737</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527"/>
        </w:trPr>
        <w:tc>
          <w:tcPr>
            <w:tcW w:w="20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pPr>
              <w:spacing w:before="0" w:after="0"/>
              <w:jc w:val="left"/>
              <w:rPr>
                <w:rFonts w:cs="Arial"/>
                <w:szCs w:val="22"/>
              </w:rPr>
            </w:pPr>
            <w:r>
              <w:rPr>
                <w:rFonts w:cs="Arial"/>
                <w:szCs w:val="22"/>
              </w:rPr>
              <w:t> </w:t>
            </w:r>
          </w:p>
        </w:tc>
        <w:tc>
          <w:tcPr>
            <w:tcW w:w="916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pPr>
              <w:spacing w:before="0" w:after="0"/>
              <w:jc w:val="center"/>
              <w:rPr>
                <w:rFonts w:cs="Arial"/>
                <w:b/>
                <w:bCs/>
                <w:sz w:val="18"/>
                <w:szCs w:val="18"/>
              </w:rPr>
            </w:pPr>
            <w:r>
              <w:rPr>
                <w:rFonts w:cs="Arial"/>
                <w:b/>
                <w:bCs/>
                <w:sz w:val="18"/>
                <w:szCs w:val="18"/>
              </w:rPr>
              <w:t>(Bilanzielle und außerbilanzielle) Risikopositionen, die nach Art. 429 Abs. 14 der Verordnung (EU) Nr. 575/2013 unberücksichtigt bleiben dürfen</w:t>
            </w:r>
          </w:p>
        </w:tc>
        <w:tc>
          <w:tcPr>
            <w:tcW w:w="202" w:type="dxa"/>
            <w:tcBorders>
              <w:top w:val="nil"/>
              <w:left w:val="single" w:sz="4" w:space="0" w:color="auto"/>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540"/>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tcPr>
          <w:p>
            <w:pPr>
              <w:spacing w:before="0" w:after="0"/>
              <w:jc w:val="left"/>
              <w:rPr>
                <w:rFonts w:cs="Arial"/>
                <w:sz w:val="18"/>
                <w:szCs w:val="18"/>
              </w:rPr>
            </w:pPr>
            <w:r>
              <w:rPr>
                <w:rFonts w:cs="Arial"/>
                <w:sz w:val="18"/>
                <w:szCs w:val="18"/>
              </w:rPr>
              <w:t>(Gemäß Art. 429 Abs. 7 der Verordnung (EU) Nr. 575/2013 nicht einbezogene (bilanzielle und außerbilanzielle) gruppeninterne Risikopositionen (Einzelbasis))</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456"/>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hideMark/>
          </w:tcPr>
          <w:p>
            <w:pPr>
              <w:spacing w:before="0" w:after="0"/>
              <w:jc w:val="left"/>
              <w:rPr>
                <w:rFonts w:cs="Arial"/>
                <w:sz w:val="18"/>
                <w:szCs w:val="18"/>
              </w:rPr>
            </w:pPr>
            <w:r>
              <w:rPr>
                <w:rFonts w:cs="Arial"/>
                <w:sz w:val="18"/>
                <w:szCs w:val="18"/>
              </w:rPr>
              <w:t>(Bilanzielle und außerbilanzielle) Risikopositionen, die nach Art. 429 Abs. 14 der Verordnung (EU) Nr. 575/2013 unberücksichtigt bleiben dürfen</w:t>
            </w:r>
          </w:p>
        </w:tc>
        <w:tc>
          <w:tcPr>
            <w:tcW w:w="1985" w:type="dxa"/>
            <w:tcBorders>
              <w:top w:val="nil"/>
              <w:left w:val="nil"/>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276"/>
        </w:trPr>
        <w:tc>
          <w:tcPr>
            <w:tcW w:w="20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pPr>
              <w:spacing w:before="0" w:after="0"/>
              <w:jc w:val="left"/>
              <w:rPr>
                <w:rFonts w:cs="Arial"/>
                <w:szCs w:val="22"/>
              </w:rPr>
            </w:pPr>
            <w:r>
              <w:rPr>
                <w:rFonts w:cs="Arial"/>
                <w:szCs w:val="22"/>
              </w:rPr>
              <w:t> </w:t>
            </w:r>
          </w:p>
        </w:tc>
        <w:tc>
          <w:tcPr>
            <w:tcW w:w="916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pPr>
              <w:spacing w:before="0" w:after="0"/>
              <w:jc w:val="center"/>
              <w:rPr>
                <w:rFonts w:cs="Arial"/>
                <w:b/>
                <w:bCs/>
                <w:sz w:val="18"/>
                <w:szCs w:val="18"/>
              </w:rPr>
            </w:pPr>
            <w:r>
              <w:rPr>
                <w:rFonts w:cs="Arial"/>
                <w:b/>
                <w:bCs/>
                <w:sz w:val="18"/>
                <w:szCs w:val="18"/>
              </w:rPr>
              <w:t>Eigenkapital und Gesamtrisikopositionsmessgröße</w:t>
            </w:r>
          </w:p>
        </w:tc>
        <w:tc>
          <w:tcPr>
            <w:tcW w:w="202" w:type="dxa"/>
            <w:tcBorders>
              <w:top w:val="nil"/>
              <w:left w:val="single" w:sz="4" w:space="0" w:color="auto"/>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noWrap/>
            <w:vAlign w:val="center"/>
            <w:hideMark/>
          </w:tcPr>
          <w:p>
            <w:pPr>
              <w:spacing w:before="0" w:after="0"/>
              <w:jc w:val="left"/>
              <w:rPr>
                <w:rFonts w:cs="Arial"/>
                <w:b/>
                <w:bCs/>
                <w:sz w:val="18"/>
                <w:szCs w:val="18"/>
              </w:rPr>
            </w:pPr>
            <w:r>
              <w:rPr>
                <w:rFonts w:cs="Arial"/>
                <w:b/>
                <w:bCs/>
                <w:sz w:val="18"/>
                <w:szCs w:val="18"/>
              </w:rPr>
              <w:t>Kernkapital</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b/>
                <w:sz w:val="18"/>
                <w:szCs w:val="18"/>
              </w:rPr>
            </w:pPr>
            <w:r>
              <w:rPr>
                <w:rFonts w:cs="Arial"/>
                <w:b/>
                <w:sz w:val="18"/>
                <w:szCs w:val="18"/>
              </w:rPr>
              <w:t>67.919</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48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b/>
                <w:bCs/>
                <w:sz w:val="18"/>
                <w:szCs w:val="18"/>
              </w:rPr>
            </w:pPr>
            <w:r>
              <w:rPr>
                <w:rFonts w:cs="Arial"/>
                <w:b/>
                <w:bCs/>
                <w:sz w:val="18"/>
                <w:szCs w:val="18"/>
              </w:rPr>
              <w:t xml:space="preserve">Gesamtrisikopositionsmessgröße der Verschuldungsquote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pPr>
              <w:spacing w:before="0" w:after="0"/>
              <w:ind w:right="255"/>
              <w:jc w:val="right"/>
              <w:rPr>
                <w:rFonts w:cs="Arial"/>
                <w:b/>
                <w:sz w:val="18"/>
                <w:szCs w:val="18"/>
              </w:rPr>
            </w:pPr>
            <w:r>
              <w:rPr>
                <w:rFonts w:cs="Arial"/>
                <w:b/>
                <w:sz w:val="18"/>
                <w:szCs w:val="18"/>
              </w:rPr>
              <w:t>737.449</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276"/>
        </w:trPr>
        <w:tc>
          <w:tcPr>
            <w:tcW w:w="20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pPr>
              <w:spacing w:before="0" w:after="0"/>
              <w:jc w:val="left"/>
              <w:rPr>
                <w:rFonts w:cs="Arial"/>
                <w:szCs w:val="22"/>
              </w:rPr>
            </w:pPr>
            <w:r>
              <w:rPr>
                <w:rFonts w:cs="Arial"/>
                <w:szCs w:val="22"/>
              </w:rPr>
              <w:lastRenderedPageBreak/>
              <w:t> </w:t>
            </w:r>
          </w:p>
        </w:tc>
        <w:tc>
          <w:tcPr>
            <w:tcW w:w="916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pPr>
              <w:spacing w:before="0" w:after="0"/>
              <w:jc w:val="center"/>
              <w:rPr>
                <w:rFonts w:cs="Arial"/>
                <w:b/>
                <w:bCs/>
                <w:sz w:val="18"/>
                <w:szCs w:val="18"/>
              </w:rPr>
            </w:pPr>
            <w:r>
              <w:rPr>
                <w:rFonts w:cs="Arial"/>
                <w:b/>
                <w:bCs/>
                <w:sz w:val="18"/>
                <w:szCs w:val="18"/>
              </w:rPr>
              <w:t>Verschuldungsquote</w:t>
            </w:r>
          </w:p>
        </w:tc>
        <w:tc>
          <w:tcPr>
            <w:tcW w:w="202" w:type="dxa"/>
            <w:tcBorders>
              <w:top w:val="nil"/>
              <w:left w:val="single" w:sz="4" w:space="0" w:color="auto"/>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noWrap/>
            <w:vAlign w:val="center"/>
            <w:hideMark/>
          </w:tcPr>
          <w:p>
            <w:pPr>
              <w:spacing w:before="0" w:after="0"/>
              <w:jc w:val="left"/>
              <w:rPr>
                <w:rFonts w:cs="Arial"/>
                <w:b/>
                <w:bCs/>
                <w:sz w:val="18"/>
                <w:szCs w:val="18"/>
              </w:rPr>
            </w:pPr>
            <w:r>
              <w:rPr>
                <w:rFonts w:cs="Arial"/>
                <w:b/>
                <w:bCs/>
                <w:sz w:val="18"/>
                <w:szCs w:val="18"/>
              </w:rPr>
              <w:t>Verschuldungsquote</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255"/>
              <w:jc w:val="right"/>
              <w:rPr>
                <w:rFonts w:cs="Arial"/>
                <w:b/>
                <w:sz w:val="18"/>
                <w:szCs w:val="18"/>
              </w:rPr>
            </w:pPr>
            <w:r>
              <w:rPr>
                <w:rFonts w:cs="Arial"/>
                <w:b/>
                <w:sz w:val="18"/>
                <w:szCs w:val="18"/>
              </w:rPr>
              <w:t>9,21 %</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276"/>
        </w:trPr>
        <w:tc>
          <w:tcPr>
            <w:tcW w:w="20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pPr>
              <w:spacing w:before="0" w:after="0"/>
              <w:jc w:val="left"/>
              <w:rPr>
                <w:rFonts w:cs="Arial"/>
                <w:szCs w:val="22"/>
              </w:rPr>
            </w:pPr>
            <w:r>
              <w:rPr>
                <w:rFonts w:cs="Arial"/>
                <w:szCs w:val="22"/>
              </w:rPr>
              <w:t> </w:t>
            </w:r>
          </w:p>
        </w:tc>
        <w:tc>
          <w:tcPr>
            <w:tcW w:w="916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pPr>
              <w:spacing w:before="0" w:after="0"/>
              <w:jc w:val="center"/>
              <w:rPr>
                <w:rFonts w:cs="Arial"/>
                <w:b/>
                <w:bCs/>
                <w:sz w:val="18"/>
                <w:szCs w:val="18"/>
              </w:rPr>
            </w:pPr>
            <w:r>
              <w:rPr>
                <w:rFonts w:cs="Arial"/>
                <w:b/>
                <w:bCs/>
                <w:sz w:val="18"/>
                <w:szCs w:val="18"/>
              </w:rPr>
              <w:t>Gewählte Übergangsregelungen und Betrag ausgebuchter Treuhandpositionen</w:t>
            </w:r>
          </w:p>
        </w:tc>
        <w:tc>
          <w:tcPr>
            <w:tcW w:w="202" w:type="dxa"/>
            <w:tcBorders>
              <w:top w:val="nil"/>
              <w:left w:val="single" w:sz="4" w:space="0" w:color="auto"/>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276"/>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nil"/>
            </w:tcBorders>
            <w:shd w:val="clear" w:color="auto" w:fill="auto"/>
            <w:vAlign w:val="center"/>
            <w:hideMark/>
          </w:tcPr>
          <w:p>
            <w:pPr>
              <w:spacing w:before="0" w:after="0"/>
              <w:jc w:val="left"/>
              <w:rPr>
                <w:rFonts w:cs="Arial"/>
                <w:sz w:val="18"/>
                <w:szCs w:val="18"/>
              </w:rPr>
            </w:pPr>
            <w:r>
              <w:rPr>
                <w:rFonts w:cs="Arial"/>
                <w:sz w:val="18"/>
                <w:szCs w:val="18"/>
              </w:rPr>
              <w:t>gewählte Übergangsbestimmungen für die Definition der Kapitalmessgröße</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right="57"/>
              <w:jc w:val="right"/>
              <w:rPr>
                <w:rFonts w:cs="Arial"/>
                <w:sz w:val="18"/>
                <w:szCs w:val="18"/>
              </w:rPr>
            </w:pPr>
            <w:r>
              <w:rPr>
                <w:rFonts w:cs="Arial"/>
                <w:sz w:val="18"/>
                <w:szCs w:val="18"/>
              </w:rPr>
              <w:t>vollständig eingeführt</w:t>
            </w:r>
          </w:p>
        </w:tc>
        <w:tc>
          <w:tcPr>
            <w:tcW w:w="202" w:type="dxa"/>
            <w:tcBorders>
              <w:top w:val="nil"/>
              <w:left w:val="nil"/>
              <w:bottom w:val="nil"/>
            </w:tcBorders>
            <w:shd w:val="clear" w:color="000000" w:fill="FFFFFF"/>
            <w:noWrap/>
            <w:vAlign w:val="center"/>
            <w:hideMark/>
          </w:tcPr>
          <w:p>
            <w:pPr>
              <w:spacing w:before="0" w:after="0"/>
              <w:jc w:val="left"/>
              <w:rPr>
                <w:rFonts w:cs="Arial"/>
                <w:sz w:val="20"/>
                <w:szCs w:val="20"/>
              </w:rPr>
            </w:pPr>
            <w:r>
              <w:rPr>
                <w:rFonts w:cs="Arial"/>
                <w:sz w:val="20"/>
                <w:szCs w:val="20"/>
              </w:rPr>
              <w:t> </w:t>
            </w:r>
          </w:p>
        </w:tc>
      </w:tr>
      <w:tr>
        <w:trPr>
          <w:trHeight w:val="527"/>
        </w:trPr>
        <w:tc>
          <w:tcPr>
            <w:tcW w:w="207" w:type="dxa"/>
            <w:tcBorders>
              <w:top w:val="single" w:sz="4" w:space="0" w:color="auto"/>
              <w:left w:val="single" w:sz="4" w:space="0" w:color="auto"/>
              <w:bottom w:val="single" w:sz="4" w:space="0" w:color="auto"/>
              <w:right w:val="nil"/>
            </w:tcBorders>
            <w:shd w:val="clear" w:color="000000" w:fill="FFFFFF"/>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sz w:val="18"/>
                <w:szCs w:val="18"/>
              </w:rPr>
            </w:pPr>
            <w:r>
              <w:rPr>
                <w:rFonts w:cs="Arial"/>
                <w:sz w:val="18"/>
                <w:szCs w:val="18"/>
              </w:rPr>
              <w:t>Betrag des gemäß Art. 429 Abs. 11 der Verordnung (EU) Nr. 575/2013 ausgebuchten Treuhandvermögens</w:t>
            </w:r>
          </w:p>
        </w:tc>
        <w:tc>
          <w:tcPr>
            <w:tcW w:w="1985" w:type="dxa"/>
            <w:tcBorders>
              <w:top w:val="nil"/>
              <w:left w:val="nil"/>
              <w:bottom w:val="single" w:sz="4" w:space="0" w:color="auto"/>
              <w:right w:val="single" w:sz="4" w:space="0" w:color="auto"/>
            </w:tcBorders>
            <w:shd w:val="clear" w:color="auto" w:fill="auto"/>
            <w:noWrap/>
            <w:vAlign w:val="center"/>
            <w:hideMark/>
          </w:tcPr>
          <w:p>
            <w:pPr>
              <w:spacing w:before="0" w:after="0"/>
              <w:ind w:right="255"/>
              <w:jc w:val="right"/>
              <w:rPr>
                <w:rFonts w:cs="Arial"/>
                <w:sz w:val="18"/>
                <w:szCs w:val="18"/>
              </w:rPr>
            </w:pPr>
            <w:r>
              <w:rPr>
                <w:rFonts w:cs="Arial"/>
                <w:sz w:val="18"/>
                <w:szCs w:val="18"/>
              </w:rPr>
              <w:t>- 647 </w:t>
            </w:r>
          </w:p>
        </w:tc>
        <w:tc>
          <w:tcPr>
            <w:tcW w:w="202" w:type="dxa"/>
            <w:tcBorders>
              <w:top w:val="nil"/>
              <w:left w:val="nil"/>
              <w:bottom w:val="single" w:sz="4" w:space="0" w:color="auto"/>
            </w:tcBorders>
            <w:shd w:val="clear" w:color="000000" w:fill="FFFFFF"/>
            <w:noWrap/>
            <w:vAlign w:val="center"/>
            <w:hideMark/>
          </w:tcPr>
          <w:p>
            <w:pPr>
              <w:spacing w:before="0" w:after="0"/>
              <w:jc w:val="left"/>
              <w:rPr>
                <w:rFonts w:cs="Arial"/>
                <w:sz w:val="20"/>
                <w:szCs w:val="20"/>
              </w:rPr>
            </w:pPr>
            <w:r>
              <w:rPr>
                <w:rFonts w:cs="Arial"/>
                <w:sz w:val="20"/>
                <w:szCs w:val="20"/>
              </w:rPr>
              <w:t> </w:t>
            </w:r>
          </w:p>
        </w:tc>
      </w:tr>
    </w:tbl>
    <w:p/>
    <w:tbl>
      <w:tblPr>
        <w:tblW w:w="9573" w:type="dxa"/>
        <w:tblInd w:w="55" w:type="dxa"/>
        <w:tblCellMar>
          <w:left w:w="70" w:type="dxa"/>
          <w:right w:w="70" w:type="dxa"/>
        </w:tblCellMar>
        <w:tblLook w:val="04A0" w:firstRow="1" w:lastRow="0" w:firstColumn="1" w:lastColumn="0" w:noHBand="0" w:noVBand="1"/>
      </w:tblPr>
      <w:tblGrid>
        <w:gridCol w:w="207"/>
        <w:gridCol w:w="7179"/>
        <w:gridCol w:w="1985"/>
        <w:gridCol w:w="202"/>
      </w:tblGrid>
      <w:tr>
        <w:trPr>
          <w:gridAfter w:val="2"/>
          <w:wAfter w:w="2187" w:type="dxa"/>
          <w:trHeight w:val="720"/>
        </w:trPr>
        <w:tc>
          <w:tcPr>
            <w:tcW w:w="7386" w:type="dxa"/>
            <w:gridSpan w:val="2"/>
            <w:tcBorders>
              <w:top w:val="single" w:sz="8" w:space="0" w:color="auto"/>
              <w:left w:val="single" w:sz="4" w:space="0" w:color="auto"/>
              <w:bottom w:val="single" w:sz="4" w:space="0" w:color="auto"/>
              <w:right w:val="single" w:sz="4" w:space="0" w:color="auto"/>
            </w:tcBorders>
            <w:shd w:val="clear" w:color="auto" w:fill="00B0F0"/>
            <w:vAlign w:val="center"/>
            <w:hideMark/>
          </w:tcPr>
          <w:p>
            <w:pPr>
              <w:spacing w:before="0" w:after="0"/>
              <w:jc w:val="left"/>
              <w:rPr>
                <w:rFonts w:cs="Arial"/>
                <w:b/>
                <w:bCs/>
                <w:color w:val="FFFFFF" w:themeColor="background1"/>
                <w:sz w:val="20"/>
                <w:szCs w:val="20"/>
              </w:rPr>
            </w:pPr>
            <w:r>
              <w:rPr>
                <w:rFonts w:cs="Arial"/>
                <w:b/>
                <w:bCs/>
                <w:color w:val="FFFFFF" w:themeColor="background1"/>
                <w:sz w:val="20"/>
                <w:szCs w:val="20"/>
                <w:shd w:val="clear" w:color="auto" w:fill="00B0F0"/>
              </w:rPr>
              <w:t>Aufgliederung der bilanzwirksamen Risikopositionen (ohne Derivate, Wertpapierfinanzierungsgeschäfte (SFT) und ausgenommen Risikopositionen)</w:t>
            </w:r>
          </w:p>
        </w:tc>
      </w:tr>
      <w:tr>
        <w:trPr>
          <w:trHeight w:val="960"/>
        </w:trPr>
        <w:tc>
          <w:tcPr>
            <w:tcW w:w="207" w:type="dxa"/>
            <w:tcBorders>
              <w:top w:val="nil"/>
              <w:left w:val="single" w:sz="4" w:space="0" w:color="auto"/>
              <w:bottom w:val="single" w:sz="4" w:space="0" w:color="auto"/>
              <w:right w:val="nil"/>
            </w:tcBorders>
            <w:shd w:val="clear" w:color="auto" w:fill="auto"/>
            <w:noWrap/>
            <w:vAlign w:val="bottom"/>
            <w:hideMark/>
          </w:tcPr>
          <w:p>
            <w:pPr>
              <w:spacing w:before="0" w:after="0"/>
              <w:jc w:val="left"/>
              <w:rPr>
                <w:rFonts w:cs="Arial"/>
                <w:b/>
                <w:bCs/>
                <w:sz w:val="24"/>
              </w:rPr>
            </w:pPr>
            <w:r>
              <w:rPr>
                <w:rFonts w:cs="Arial"/>
                <w:b/>
                <w:bCs/>
                <w:sz w:val="24"/>
              </w:rPr>
              <w:t> </w:t>
            </w:r>
          </w:p>
        </w:tc>
        <w:tc>
          <w:tcPr>
            <w:tcW w:w="7179" w:type="dxa"/>
            <w:tcBorders>
              <w:top w:val="nil"/>
              <w:left w:val="nil"/>
              <w:bottom w:val="single" w:sz="4" w:space="0" w:color="auto"/>
              <w:right w:val="single" w:sz="4" w:space="0" w:color="auto"/>
            </w:tcBorders>
            <w:shd w:val="clear" w:color="auto" w:fill="auto"/>
            <w:noWrap/>
            <w:vAlign w:val="center"/>
            <w:hideMark/>
          </w:tcPr>
          <w:p>
            <w:pPr>
              <w:spacing w:before="0" w:after="0"/>
              <w:jc w:val="center"/>
              <w:rPr>
                <w:rFonts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cs="Arial"/>
                <w:b/>
                <w:bCs/>
                <w:sz w:val="18"/>
                <w:szCs w:val="18"/>
              </w:rPr>
            </w:pPr>
            <w:r>
              <w:rPr>
                <w:rFonts w:cs="Arial"/>
                <w:b/>
                <w:bCs/>
                <w:sz w:val="18"/>
                <w:szCs w:val="18"/>
              </w:rPr>
              <w:t>Risikopositionswerte der CRR-Verschuldungsquote (TEUR)</w:t>
            </w:r>
          </w:p>
        </w:tc>
        <w:tc>
          <w:tcPr>
            <w:tcW w:w="202" w:type="dxa"/>
            <w:tcBorders>
              <w:top w:val="nil"/>
              <w:left w:val="nil"/>
              <w:bottom w:val="nil"/>
            </w:tcBorders>
            <w:shd w:val="clear" w:color="auto" w:fill="auto"/>
            <w:noWrap/>
            <w:vAlign w:val="center"/>
            <w:hideMark/>
          </w:tcPr>
          <w:p>
            <w:pPr>
              <w:spacing w:before="0" w:after="0"/>
              <w:jc w:val="left"/>
              <w:rPr>
                <w:rFonts w:cs="Arial"/>
                <w:sz w:val="20"/>
                <w:szCs w:val="20"/>
              </w:rPr>
            </w:pPr>
            <w:r>
              <w:rPr>
                <w:rFonts w:cs="Arial"/>
                <w:sz w:val="20"/>
                <w:szCs w:val="20"/>
              </w:rPr>
              <w:t> </w:t>
            </w:r>
          </w:p>
        </w:tc>
      </w:tr>
      <w:tr>
        <w:trPr>
          <w:trHeight w:val="555"/>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sz w:val="18"/>
                <w:szCs w:val="18"/>
              </w:rPr>
            </w:pPr>
            <w:r>
              <w:rPr>
                <w:rFonts w:cs="Arial"/>
                <w:sz w:val="18"/>
                <w:szCs w:val="18"/>
              </w:rPr>
              <w:t>Gesamtsumme der bilanzwirksamen Risikopositionen (ohne Derivate, Wertpapierfinanzierungsgeschäfte (SFT) und ausgenommene Risikopositionen), davon:</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706.904</w:t>
            </w:r>
          </w:p>
        </w:tc>
        <w:tc>
          <w:tcPr>
            <w:tcW w:w="202" w:type="dxa"/>
            <w:tcBorders>
              <w:top w:val="nil"/>
              <w:left w:val="nil"/>
              <w:bottom w:val="nil"/>
            </w:tcBorders>
            <w:shd w:val="clear" w:color="auto" w:fill="auto"/>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sz w:val="18"/>
                <w:szCs w:val="18"/>
              </w:rPr>
            </w:pPr>
            <w:r>
              <w:rPr>
                <w:rFonts w:cs="Arial"/>
                <w:sz w:val="18"/>
                <w:szCs w:val="18"/>
              </w:rPr>
              <w:t xml:space="preserve">  Risikopositionen des Handelsbuchs</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0</w:t>
            </w:r>
          </w:p>
        </w:tc>
        <w:tc>
          <w:tcPr>
            <w:tcW w:w="202" w:type="dxa"/>
            <w:tcBorders>
              <w:top w:val="nil"/>
              <w:left w:val="nil"/>
              <w:bottom w:val="nil"/>
            </w:tcBorders>
            <w:shd w:val="clear" w:color="auto" w:fill="auto"/>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sz w:val="18"/>
                <w:szCs w:val="18"/>
              </w:rPr>
            </w:pPr>
            <w:r>
              <w:rPr>
                <w:rFonts w:cs="Arial"/>
                <w:sz w:val="18"/>
                <w:szCs w:val="18"/>
              </w:rPr>
              <w:t xml:space="preserve">  Risikopositionen des Anlagebuchs, davon:</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706.904</w:t>
            </w:r>
          </w:p>
        </w:tc>
        <w:tc>
          <w:tcPr>
            <w:tcW w:w="202" w:type="dxa"/>
            <w:tcBorders>
              <w:top w:val="nil"/>
              <w:left w:val="nil"/>
              <w:bottom w:val="nil"/>
            </w:tcBorders>
            <w:shd w:val="clear" w:color="auto" w:fill="auto"/>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ind w:left="305"/>
              <w:jc w:val="left"/>
              <w:rPr>
                <w:rFonts w:cs="Arial"/>
                <w:sz w:val="18"/>
                <w:szCs w:val="18"/>
              </w:rPr>
            </w:pPr>
            <w:r>
              <w:rPr>
                <w:rFonts w:cs="Arial"/>
                <w:sz w:val="18"/>
                <w:szCs w:val="18"/>
              </w:rPr>
              <w:t>Gedeckte Schuldverschreibungen</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9.257</w:t>
            </w:r>
          </w:p>
        </w:tc>
        <w:tc>
          <w:tcPr>
            <w:tcW w:w="202" w:type="dxa"/>
            <w:tcBorders>
              <w:top w:val="nil"/>
              <w:left w:val="nil"/>
              <w:bottom w:val="nil"/>
            </w:tcBorders>
            <w:shd w:val="clear" w:color="auto" w:fill="auto"/>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ind w:left="305"/>
              <w:jc w:val="left"/>
              <w:rPr>
                <w:rFonts w:cs="Arial"/>
                <w:sz w:val="18"/>
                <w:szCs w:val="18"/>
              </w:rPr>
            </w:pPr>
            <w:r>
              <w:rPr>
                <w:rFonts w:cs="Arial"/>
                <w:sz w:val="18"/>
                <w:szCs w:val="18"/>
              </w:rPr>
              <w:t>Risikopositionen, die wie Risikopositionen gegenüber Staaten behandelt werden</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68.646</w:t>
            </w:r>
          </w:p>
        </w:tc>
        <w:tc>
          <w:tcPr>
            <w:tcW w:w="202" w:type="dxa"/>
            <w:tcBorders>
              <w:top w:val="nil"/>
              <w:left w:val="nil"/>
            </w:tcBorders>
            <w:shd w:val="clear" w:color="auto" w:fill="auto"/>
            <w:noWrap/>
            <w:vAlign w:val="center"/>
            <w:hideMark/>
          </w:tcPr>
          <w:p>
            <w:pPr>
              <w:spacing w:before="0" w:after="0"/>
              <w:jc w:val="left"/>
              <w:rPr>
                <w:rFonts w:cs="Arial"/>
                <w:sz w:val="20"/>
                <w:szCs w:val="20"/>
              </w:rPr>
            </w:pPr>
            <w:r>
              <w:rPr>
                <w:rFonts w:cs="Arial"/>
                <w:sz w:val="20"/>
                <w:szCs w:val="20"/>
              </w:rPr>
              <w:t> </w:t>
            </w:r>
          </w:p>
        </w:tc>
      </w:tr>
      <w:tr>
        <w:trPr>
          <w:trHeight w:val="684"/>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ind w:left="305"/>
              <w:jc w:val="left"/>
              <w:rPr>
                <w:rFonts w:cs="Arial"/>
                <w:sz w:val="18"/>
                <w:szCs w:val="18"/>
              </w:rPr>
            </w:pPr>
            <w:r>
              <w:rPr>
                <w:rFonts w:cs="Arial"/>
                <w:sz w:val="18"/>
                <w:szCs w:val="18"/>
              </w:rPr>
              <w:t>Risikopositionen gegenüber regionalen Gebietskörperschaften, multilateralen Entwicklungsbanken, internationalen Organisationen und öffentlichen Stellen, die NICHT wie Risikopositionen gegenüber Staaten behandelt werden</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2.908</w:t>
            </w:r>
          </w:p>
        </w:tc>
        <w:tc>
          <w:tcPr>
            <w:tcW w:w="202" w:type="dxa"/>
            <w:tcBorders>
              <w:top w:val="nil"/>
              <w:left w:val="nil"/>
              <w:bottom w:val="nil"/>
            </w:tcBorders>
            <w:shd w:val="clear" w:color="auto" w:fill="auto"/>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ind w:left="305"/>
              <w:jc w:val="left"/>
              <w:rPr>
                <w:rFonts w:cs="Arial"/>
                <w:sz w:val="18"/>
                <w:szCs w:val="18"/>
              </w:rPr>
            </w:pPr>
            <w:r>
              <w:rPr>
                <w:rFonts w:cs="Arial"/>
                <w:sz w:val="18"/>
                <w:szCs w:val="18"/>
              </w:rPr>
              <w:t>Institute</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19.367</w:t>
            </w:r>
          </w:p>
        </w:tc>
        <w:tc>
          <w:tcPr>
            <w:tcW w:w="202" w:type="dxa"/>
            <w:tcBorders>
              <w:top w:val="nil"/>
              <w:left w:val="nil"/>
              <w:bottom w:val="nil"/>
            </w:tcBorders>
            <w:shd w:val="clear" w:color="auto" w:fill="auto"/>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ind w:left="305"/>
              <w:jc w:val="left"/>
              <w:rPr>
                <w:rFonts w:cs="Arial"/>
                <w:sz w:val="18"/>
                <w:szCs w:val="18"/>
              </w:rPr>
            </w:pPr>
            <w:r>
              <w:rPr>
                <w:rFonts w:cs="Arial"/>
                <w:sz w:val="18"/>
                <w:szCs w:val="18"/>
              </w:rPr>
              <w:t>Durch Grundpfandrechte auf Immobilien besichert</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244.691</w:t>
            </w:r>
          </w:p>
        </w:tc>
        <w:tc>
          <w:tcPr>
            <w:tcW w:w="202" w:type="dxa"/>
            <w:tcBorders>
              <w:top w:val="nil"/>
              <w:left w:val="nil"/>
              <w:bottom w:val="nil"/>
            </w:tcBorders>
            <w:shd w:val="clear" w:color="auto" w:fill="auto"/>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ind w:left="305"/>
              <w:jc w:val="left"/>
              <w:rPr>
                <w:rFonts w:cs="Arial"/>
                <w:sz w:val="18"/>
                <w:szCs w:val="18"/>
              </w:rPr>
            </w:pPr>
            <w:r>
              <w:rPr>
                <w:rFonts w:cs="Arial"/>
                <w:sz w:val="18"/>
                <w:szCs w:val="18"/>
              </w:rPr>
              <w:t>Risikopositionen aus dem Mengengeschäft</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98.905</w:t>
            </w:r>
          </w:p>
        </w:tc>
        <w:tc>
          <w:tcPr>
            <w:tcW w:w="202" w:type="dxa"/>
            <w:tcBorders>
              <w:top w:val="nil"/>
              <w:left w:val="nil"/>
              <w:bottom w:val="nil"/>
            </w:tcBorders>
            <w:shd w:val="clear" w:color="auto" w:fill="auto"/>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ind w:left="305"/>
              <w:jc w:val="left"/>
              <w:rPr>
                <w:rFonts w:cs="Arial"/>
                <w:sz w:val="18"/>
                <w:szCs w:val="18"/>
              </w:rPr>
            </w:pPr>
            <w:r>
              <w:rPr>
                <w:rFonts w:cs="Arial"/>
                <w:sz w:val="18"/>
                <w:szCs w:val="18"/>
              </w:rPr>
              <w:t>Unternehmen</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218.288</w:t>
            </w:r>
          </w:p>
        </w:tc>
        <w:tc>
          <w:tcPr>
            <w:tcW w:w="202" w:type="dxa"/>
            <w:tcBorders>
              <w:top w:val="nil"/>
              <w:left w:val="nil"/>
              <w:bottom w:val="nil"/>
            </w:tcBorders>
            <w:shd w:val="clear" w:color="auto" w:fill="auto"/>
            <w:noWrap/>
            <w:vAlign w:val="center"/>
            <w:hideMark/>
          </w:tcPr>
          <w:p>
            <w:pPr>
              <w:spacing w:before="0" w:after="0"/>
              <w:jc w:val="left"/>
              <w:rPr>
                <w:rFonts w:cs="Arial"/>
                <w:sz w:val="20"/>
                <w:szCs w:val="20"/>
              </w:rPr>
            </w:pPr>
            <w:r>
              <w:rPr>
                <w:rFonts w:cs="Arial"/>
                <w:sz w:val="20"/>
                <w:szCs w:val="20"/>
              </w:rPr>
              <w:t> </w:t>
            </w:r>
          </w:p>
        </w:tc>
      </w:tr>
      <w:tr>
        <w:trPr>
          <w:trHeight w:val="300"/>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ind w:left="305"/>
              <w:jc w:val="left"/>
              <w:rPr>
                <w:rFonts w:cs="Arial"/>
                <w:sz w:val="18"/>
                <w:szCs w:val="18"/>
              </w:rPr>
            </w:pPr>
            <w:r>
              <w:rPr>
                <w:rFonts w:cs="Arial"/>
                <w:sz w:val="18"/>
                <w:szCs w:val="18"/>
              </w:rPr>
              <w:t>Ausgefallene Positionen</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1.568</w:t>
            </w:r>
          </w:p>
        </w:tc>
        <w:tc>
          <w:tcPr>
            <w:tcW w:w="202" w:type="dxa"/>
            <w:tcBorders>
              <w:top w:val="nil"/>
              <w:left w:val="nil"/>
              <w:bottom w:val="nil"/>
            </w:tcBorders>
            <w:shd w:val="clear" w:color="auto" w:fill="auto"/>
            <w:noWrap/>
            <w:vAlign w:val="center"/>
            <w:hideMark/>
          </w:tcPr>
          <w:p>
            <w:pPr>
              <w:spacing w:before="0" w:after="0"/>
              <w:jc w:val="left"/>
              <w:rPr>
                <w:rFonts w:cs="Arial"/>
                <w:sz w:val="20"/>
                <w:szCs w:val="20"/>
              </w:rPr>
            </w:pPr>
            <w:r>
              <w:rPr>
                <w:rFonts w:cs="Arial"/>
                <w:sz w:val="20"/>
                <w:szCs w:val="20"/>
              </w:rPr>
              <w:t> </w:t>
            </w:r>
          </w:p>
        </w:tc>
      </w:tr>
      <w:tr>
        <w:trPr>
          <w:trHeight w:val="456"/>
        </w:trPr>
        <w:tc>
          <w:tcPr>
            <w:tcW w:w="207"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jc w:val="left"/>
              <w:rPr>
                <w:rFonts w:cs="Arial"/>
                <w:szCs w:val="22"/>
              </w:rPr>
            </w:pPr>
            <w:r>
              <w:rPr>
                <w:rFonts w:cs="Arial"/>
                <w:szCs w:val="22"/>
              </w:rPr>
              <w:t> </w:t>
            </w:r>
          </w:p>
        </w:tc>
        <w:tc>
          <w:tcPr>
            <w:tcW w:w="7179" w:type="dxa"/>
            <w:tcBorders>
              <w:top w:val="nil"/>
              <w:left w:val="nil"/>
              <w:bottom w:val="single" w:sz="4" w:space="0" w:color="auto"/>
              <w:right w:val="single" w:sz="4" w:space="0" w:color="auto"/>
            </w:tcBorders>
            <w:shd w:val="clear" w:color="auto" w:fill="auto"/>
            <w:vAlign w:val="center"/>
            <w:hideMark/>
          </w:tcPr>
          <w:p>
            <w:pPr>
              <w:spacing w:before="0" w:after="0"/>
              <w:ind w:left="305"/>
              <w:jc w:val="left"/>
              <w:rPr>
                <w:rFonts w:cs="Arial"/>
                <w:sz w:val="18"/>
                <w:szCs w:val="18"/>
              </w:rPr>
            </w:pPr>
            <w:r>
              <w:rPr>
                <w:rFonts w:cs="Arial"/>
                <w:sz w:val="18"/>
                <w:szCs w:val="18"/>
              </w:rPr>
              <w:t>Sonstige Risikopositionen (z. B. Beteiligungen, Verbriefungen und sonstige Aktiva, die keine Kreditverpflichtungen sind)</w:t>
            </w:r>
          </w:p>
        </w:tc>
        <w:tc>
          <w:tcPr>
            <w:tcW w:w="1985" w:type="dxa"/>
            <w:tcBorders>
              <w:top w:val="nil"/>
              <w:left w:val="nil"/>
              <w:bottom w:val="single" w:sz="4" w:space="0" w:color="auto"/>
              <w:right w:val="single" w:sz="4" w:space="0" w:color="auto"/>
            </w:tcBorders>
            <w:shd w:val="clear" w:color="auto" w:fill="auto"/>
            <w:noWrap/>
            <w:vAlign w:val="center"/>
          </w:tcPr>
          <w:p>
            <w:pPr>
              <w:spacing w:before="0" w:after="0"/>
              <w:ind w:right="255"/>
              <w:jc w:val="right"/>
              <w:rPr>
                <w:rFonts w:cs="Arial"/>
                <w:sz w:val="18"/>
                <w:szCs w:val="18"/>
              </w:rPr>
            </w:pPr>
            <w:r>
              <w:rPr>
                <w:rFonts w:cs="Arial"/>
                <w:sz w:val="18"/>
                <w:szCs w:val="18"/>
              </w:rPr>
              <w:t>43.274</w:t>
            </w:r>
          </w:p>
        </w:tc>
        <w:tc>
          <w:tcPr>
            <w:tcW w:w="202" w:type="dxa"/>
            <w:tcBorders>
              <w:top w:val="nil"/>
              <w:left w:val="nil"/>
              <w:bottom w:val="nil"/>
            </w:tcBorders>
            <w:shd w:val="clear" w:color="auto" w:fill="auto"/>
            <w:noWrap/>
            <w:vAlign w:val="center"/>
            <w:hideMark/>
          </w:tcPr>
          <w:p>
            <w:pPr>
              <w:spacing w:before="0" w:after="0"/>
              <w:jc w:val="left"/>
              <w:rPr>
                <w:rFonts w:cs="Arial"/>
                <w:sz w:val="20"/>
                <w:szCs w:val="20"/>
              </w:rPr>
            </w:pPr>
            <w:r>
              <w:rPr>
                <w:rFonts w:cs="Arial"/>
                <w:sz w:val="20"/>
                <w:szCs w:val="20"/>
              </w:rPr>
              <w:t> </w:t>
            </w:r>
          </w:p>
        </w:tc>
      </w:tr>
    </w:tbl>
    <w:p>
      <w:pPr>
        <w:pStyle w:val="Randziffer"/>
        <w:numPr>
          <w:ilvl w:val="0"/>
          <w:numId w:val="0"/>
        </w:numPr>
        <w:ind w:left="360"/>
      </w:pPr>
    </w:p>
    <w:p>
      <w:pPr>
        <w:pStyle w:val="Randziffer"/>
        <w:rPr>
          <w:szCs w:val="22"/>
        </w:rPr>
      </w:pPr>
      <w:r>
        <w:rPr>
          <w:szCs w:val="22"/>
        </w:rPr>
        <w:t xml:space="preserve">Dem Risiko einer übermäßigen Verschuldung wird bei uns im Haus im Planungs- und Strategieprozess Rechnung getragen. Die Vermeidung einer übermäßigen Verschuldung ist bei uns eingebettet in unsere Bilanzstruktursteuerung. </w:t>
      </w:r>
    </w:p>
    <w:p>
      <w:pPr>
        <w:pStyle w:val="Randziffer"/>
        <w:rPr>
          <w:szCs w:val="22"/>
        </w:rPr>
      </w:pPr>
      <w:r>
        <w:rPr>
          <w:szCs w:val="22"/>
        </w:rPr>
        <w:t>Die Verschuldungsquote betrug zum 31.12.2019   9,21 % und hat sich gegenüber dem Vorjahr um</w:t>
      </w:r>
      <w:r>
        <w:rPr>
          <w:color w:val="FF0000"/>
          <w:szCs w:val="22"/>
        </w:rPr>
        <w:t xml:space="preserve"> </w:t>
      </w:r>
      <w:r>
        <w:rPr>
          <w:szCs w:val="22"/>
        </w:rPr>
        <w:t>0,07 %-Punkte verbessert. Folgende wesentliche Einflussfaktoren, die während des Berichtszeitraums Auswirkungen auf die Verschuldungsquote hatten, lagen dabei vor:</w:t>
      </w:r>
    </w:p>
    <w:p>
      <w:pPr>
        <w:pStyle w:val="Listenabsatz"/>
        <w:numPr>
          <w:ilvl w:val="0"/>
          <w:numId w:val="16"/>
        </w:numPr>
        <w:spacing w:before="240"/>
        <w:ind w:left="1077" w:hanging="357"/>
        <w:rPr>
          <w:szCs w:val="22"/>
        </w:rPr>
      </w:pPr>
      <w:r>
        <w:rPr>
          <w:szCs w:val="22"/>
        </w:rPr>
        <w:t>Veränderungen von bilanziellen und außerbilanziellen Positionen gemäß Darstellung im Lagebericht,</w:t>
      </w:r>
    </w:p>
    <w:p>
      <w:pPr>
        <w:pStyle w:val="Listenabsatz"/>
        <w:numPr>
          <w:ilvl w:val="0"/>
          <w:numId w:val="16"/>
        </w:numPr>
        <w:ind w:left="1077" w:hanging="357"/>
        <w:rPr>
          <w:szCs w:val="22"/>
        </w:rPr>
      </w:pPr>
      <w:r>
        <w:rPr>
          <w:szCs w:val="22"/>
        </w:rPr>
        <w:t>Erhöhung der Kernkapitalausstattung.</w:t>
      </w:r>
    </w:p>
    <w:p>
      <w:pPr>
        <w:spacing w:before="240"/>
        <w:ind w:left="360"/>
        <w:rPr>
          <w:szCs w:val="22"/>
        </w:rPr>
      </w:pPr>
      <w:r>
        <w:rPr>
          <w:szCs w:val="22"/>
        </w:rPr>
        <w:t>Diese Faktoren haben sich im Berichtsjahr im Wesentlichen wachstumsbedingt geändert.</w:t>
      </w:r>
    </w:p>
    <w:p>
      <w:pPr>
        <w:spacing w:before="0" w:after="0"/>
        <w:jc w:val="left"/>
      </w:pPr>
      <w:r>
        <w:rPr>
          <w:color w:val="FF0000"/>
        </w:rPr>
        <w:br w:type="page"/>
      </w:r>
    </w:p>
    <w:p>
      <w:pPr>
        <w:pStyle w:val="berschrift1"/>
      </w:pPr>
      <w:bookmarkStart w:id="27" w:name="_Toc436146688"/>
      <w:r>
        <w:lastRenderedPageBreak/>
        <w:t>Anhang</w:t>
      </w:r>
      <w:bookmarkEnd w:id="27"/>
    </w:p>
    <w:p>
      <w:pPr>
        <w:pStyle w:val="berschrift1"/>
        <w:numPr>
          <w:ilvl w:val="0"/>
          <w:numId w:val="13"/>
        </w:numPr>
        <w:rPr>
          <w:sz w:val="28"/>
          <w:szCs w:val="28"/>
        </w:rPr>
      </w:pPr>
      <w:bookmarkStart w:id="28" w:name="_Toc436146689"/>
      <w:r>
        <w:rPr>
          <w:sz w:val="28"/>
          <w:szCs w:val="28"/>
        </w:rPr>
        <w:t>Offenlegung der Kapitalinstrumente</w:t>
      </w:r>
      <w:bookmarkEnd w:id="28"/>
    </w:p>
    <w:tbl>
      <w:tblPr>
        <w:tblW w:w="9400" w:type="dxa"/>
        <w:tblInd w:w="70" w:type="dxa"/>
        <w:tblCellMar>
          <w:left w:w="70" w:type="dxa"/>
          <w:right w:w="70" w:type="dxa"/>
        </w:tblCellMar>
        <w:tblLook w:val="04A0" w:firstRow="1" w:lastRow="0" w:firstColumn="1" w:lastColumn="0" w:noHBand="0" w:noVBand="1"/>
      </w:tblPr>
      <w:tblGrid>
        <w:gridCol w:w="474"/>
        <w:gridCol w:w="5622"/>
        <w:gridCol w:w="3304"/>
      </w:tblGrid>
      <w:tr>
        <w:trPr>
          <w:trHeight w:val="510"/>
        </w:trPr>
        <w:tc>
          <w:tcPr>
            <w:tcW w:w="9400" w:type="dxa"/>
            <w:gridSpan w:val="3"/>
            <w:tcBorders>
              <w:top w:val="nil"/>
              <w:left w:val="nil"/>
              <w:bottom w:val="nil"/>
              <w:right w:val="nil"/>
            </w:tcBorders>
            <w:shd w:val="clear" w:color="auto" w:fill="auto"/>
            <w:noWrap/>
            <w:vAlign w:val="center"/>
            <w:hideMark/>
          </w:tcPr>
          <w:p>
            <w:pPr>
              <w:spacing w:before="0" w:after="0"/>
              <w:jc w:val="left"/>
              <w:rPr>
                <w:rFonts w:cs="Arial"/>
                <w:b/>
                <w:bCs/>
                <w:color w:val="000000"/>
                <w:szCs w:val="22"/>
              </w:rPr>
            </w:pPr>
            <w:r>
              <w:rPr>
                <w:rFonts w:cs="Arial"/>
                <w:b/>
                <w:bCs/>
                <w:color w:val="000000"/>
                <w:szCs w:val="22"/>
              </w:rPr>
              <w:t>Hauptmerkmale des Kapitalinstrumentes "Geschäftsguthaben" (CET1)</w:t>
            </w:r>
          </w:p>
        </w:tc>
      </w:tr>
      <w:tr>
        <w:trPr>
          <w:trHeight w:val="357"/>
        </w:trPr>
        <w:tc>
          <w:tcPr>
            <w:tcW w:w="47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1</w:t>
            </w:r>
          </w:p>
        </w:tc>
        <w:tc>
          <w:tcPr>
            <w:tcW w:w="5622" w:type="dxa"/>
            <w:tcBorders>
              <w:top w:val="single" w:sz="8" w:space="0" w:color="auto"/>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Emittent</w:t>
            </w:r>
          </w:p>
        </w:tc>
        <w:tc>
          <w:tcPr>
            <w:tcW w:w="3304" w:type="dxa"/>
            <w:tcBorders>
              <w:top w:val="single" w:sz="8" w:space="0" w:color="auto"/>
              <w:left w:val="nil"/>
              <w:bottom w:val="single" w:sz="4" w:space="0" w:color="auto"/>
              <w:right w:val="single" w:sz="8" w:space="0" w:color="auto"/>
            </w:tcBorders>
            <w:shd w:val="clear" w:color="auto" w:fill="auto"/>
            <w:noWrap/>
            <w:vAlign w:val="center"/>
            <w:hideMark/>
          </w:tcPr>
          <w:p>
            <w:pPr>
              <w:spacing w:before="0" w:after="0"/>
              <w:ind w:left="255"/>
              <w:jc w:val="left"/>
              <w:rPr>
                <w:rFonts w:cs="Arial"/>
                <w:sz w:val="20"/>
                <w:szCs w:val="20"/>
              </w:rPr>
            </w:pPr>
            <w:r>
              <w:rPr>
                <w:rFonts w:cs="Arial"/>
                <w:sz w:val="20"/>
                <w:szCs w:val="20"/>
              </w:rPr>
              <w:t>Volksbank Greven eG</w:t>
            </w:r>
          </w:p>
        </w:tc>
      </w:tr>
      <w:tr>
        <w:trPr>
          <w:trHeight w:val="556"/>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2</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einheitliche Kennung (z.B. CUSIP, ISIN oder Bloomberg-</w:t>
            </w:r>
            <w:r>
              <w:rPr>
                <w:rFonts w:cs="Arial"/>
                <w:color w:val="000000"/>
                <w:sz w:val="20"/>
                <w:szCs w:val="20"/>
              </w:rPr>
              <w:br/>
              <w:t>Kennung für Privatplatzierung)</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sz w:val="20"/>
                <w:szCs w:val="20"/>
              </w:rPr>
            </w:pPr>
            <w:r>
              <w:rPr>
                <w:rFonts w:cs="Arial"/>
                <w:sz w:val="20"/>
                <w:szCs w:val="20"/>
              </w:rPr>
              <w:t>0</w:t>
            </w:r>
          </w:p>
        </w:tc>
      </w:tr>
      <w:tr>
        <w:trPr>
          <w:trHeight w:val="357"/>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3</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Für das Instrument geltendes Recht</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sz w:val="20"/>
                <w:szCs w:val="20"/>
              </w:rPr>
            </w:pPr>
            <w:r>
              <w:rPr>
                <w:rFonts w:cs="Arial"/>
                <w:sz w:val="20"/>
                <w:szCs w:val="20"/>
              </w:rPr>
              <w:t>deutsches Recht</w:t>
            </w:r>
          </w:p>
        </w:tc>
      </w:tr>
      <w:tr>
        <w:trPr>
          <w:trHeight w:val="402"/>
        </w:trPr>
        <w:tc>
          <w:tcPr>
            <w:tcW w:w="474" w:type="dxa"/>
            <w:tcBorders>
              <w:top w:val="nil"/>
              <w:left w:val="single" w:sz="8" w:space="0" w:color="auto"/>
              <w:bottom w:val="nil"/>
              <w:right w:val="nil"/>
            </w:tcBorders>
            <w:shd w:val="clear" w:color="000000" w:fill="D9D9D9"/>
            <w:noWrap/>
            <w:vAlign w:val="center"/>
            <w:hideMark/>
          </w:tcPr>
          <w:p>
            <w:pPr>
              <w:spacing w:before="0" w:after="0"/>
              <w:jc w:val="left"/>
              <w:rPr>
                <w:rFonts w:cs="Arial"/>
                <w:color w:val="000000"/>
                <w:sz w:val="20"/>
                <w:szCs w:val="20"/>
              </w:rPr>
            </w:pPr>
            <w:r>
              <w:rPr>
                <w:rFonts w:cs="Arial"/>
                <w:color w:val="000000"/>
                <w:sz w:val="20"/>
                <w:szCs w:val="20"/>
              </w:rPr>
              <w:t> </w:t>
            </w:r>
          </w:p>
        </w:tc>
        <w:tc>
          <w:tcPr>
            <w:tcW w:w="5622" w:type="dxa"/>
            <w:tcBorders>
              <w:top w:val="nil"/>
              <w:left w:val="nil"/>
              <w:bottom w:val="nil"/>
              <w:right w:val="nil"/>
            </w:tcBorders>
            <w:shd w:val="clear" w:color="000000" w:fill="D9D9D9"/>
            <w:vAlign w:val="center"/>
            <w:hideMark/>
          </w:tcPr>
          <w:p>
            <w:pPr>
              <w:spacing w:before="0" w:after="0"/>
              <w:jc w:val="left"/>
              <w:rPr>
                <w:rFonts w:cs="Arial"/>
                <w:i/>
                <w:iCs/>
                <w:color w:val="000000"/>
                <w:sz w:val="20"/>
                <w:szCs w:val="20"/>
              </w:rPr>
            </w:pPr>
            <w:r>
              <w:rPr>
                <w:rFonts w:cs="Arial"/>
                <w:i/>
                <w:iCs/>
                <w:color w:val="000000"/>
                <w:sz w:val="20"/>
                <w:szCs w:val="20"/>
              </w:rPr>
              <w:t>Aufsichtsrechtliche Behandlung</w:t>
            </w:r>
          </w:p>
        </w:tc>
        <w:tc>
          <w:tcPr>
            <w:tcW w:w="3304" w:type="dxa"/>
            <w:tcBorders>
              <w:top w:val="nil"/>
              <w:left w:val="nil"/>
              <w:bottom w:val="nil"/>
              <w:right w:val="single" w:sz="8" w:space="0" w:color="auto"/>
            </w:tcBorders>
            <w:shd w:val="clear" w:color="000000" w:fill="D9D9D9"/>
            <w:noWrap/>
            <w:vAlign w:val="center"/>
            <w:hideMark/>
          </w:tcPr>
          <w:p>
            <w:pPr>
              <w:spacing w:before="0" w:after="0"/>
              <w:ind w:left="255"/>
              <w:jc w:val="left"/>
              <w:rPr>
                <w:rFonts w:cs="Arial"/>
                <w:color w:val="000000"/>
                <w:sz w:val="20"/>
                <w:szCs w:val="20"/>
              </w:rPr>
            </w:pPr>
            <w:r>
              <w:rPr>
                <w:rFonts w:cs="Arial"/>
                <w:color w:val="000000"/>
                <w:sz w:val="20"/>
                <w:szCs w:val="20"/>
              </w:rPr>
              <w:t> </w:t>
            </w:r>
          </w:p>
        </w:tc>
      </w:tr>
      <w:tr>
        <w:trPr>
          <w:trHeight w:val="357"/>
        </w:trPr>
        <w:tc>
          <w:tcPr>
            <w:tcW w:w="4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4</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CRR-Übergangsregelungen</w:t>
            </w:r>
          </w:p>
        </w:tc>
        <w:tc>
          <w:tcPr>
            <w:tcW w:w="3304" w:type="dxa"/>
            <w:tcBorders>
              <w:top w:val="single" w:sz="4" w:space="0" w:color="auto"/>
              <w:left w:val="nil"/>
              <w:bottom w:val="nil"/>
              <w:right w:val="single" w:sz="8" w:space="0" w:color="auto"/>
            </w:tcBorders>
            <w:shd w:val="clear" w:color="auto" w:fill="auto"/>
            <w:vAlign w:val="center"/>
            <w:hideMark/>
          </w:tcPr>
          <w:p>
            <w:pPr>
              <w:spacing w:before="0" w:after="0"/>
              <w:ind w:left="255"/>
              <w:jc w:val="left"/>
              <w:rPr>
                <w:rFonts w:cs="Arial"/>
                <w:color w:val="000000"/>
                <w:sz w:val="20"/>
                <w:szCs w:val="20"/>
              </w:rPr>
            </w:pPr>
            <w:r>
              <w:rPr>
                <w:rFonts w:cs="Arial"/>
                <w:color w:val="000000"/>
                <w:sz w:val="20"/>
                <w:szCs w:val="20"/>
              </w:rPr>
              <w:t>Hartes Kernkapital</w:t>
            </w:r>
          </w:p>
        </w:tc>
      </w:tr>
      <w:tr>
        <w:trPr>
          <w:trHeight w:val="357"/>
        </w:trPr>
        <w:tc>
          <w:tcPr>
            <w:tcW w:w="474" w:type="dxa"/>
            <w:tcBorders>
              <w:top w:val="nil"/>
              <w:left w:val="single" w:sz="8" w:space="0" w:color="auto"/>
              <w:bottom w:val="nil"/>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5</w:t>
            </w:r>
          </w:p>
        </w:tc>
        <w:tc>
          <w:tcPr>
            <w:tcW w:w="5622" w:type="dxa"/>
            <w:tcBorders>
              <w:top w:val="nil"/>
              <w:left w:val="nil"/>
              <w:bottom w:val="nil"/>
              <w:right w:val="single" w:sz="4" w:space="0" w:color="auto"/>
            </w:tcBorders>
            <w:shd w:val="clear" w:color="auto" w:fill="auto"/>
            <w:vAlign w:val="center"/>
            <w:hideMark/>
          </w:tcPr>
          <w:p>
            <w:pPr>
              <w:spacing w:before="0" w:after="0"/>
              <w:jc w:val="left"/>
              <w:rPr>
                <w:rFonts w:cs="Arial"/>
                <w:sz w:val="20"/>
                <w:szCs w:val="20"/>
              </w:rPr>
            </w:pPr>
            <w:r>
              <w:rPr>
                <w:rFonts w:cs="Arial"/>
                <w:sz w:val="20"/>
                <w:szCs w:val="20"/>
              </w:rPr>
              <w:t>CRR-Regelungen nach der Übergangszeit</w:t>
            </w:r>
          </w:p>
        </w:tc>
        <w:tc>
          <w:tcPr>
            <w:tcW w:w="3304" w:type="dxa"/>
            <w:tcBorders>
              <w:top w:val="single" w:sz="4" w:space="0" w:color="auto"/>
              <w:left w:val="nil"/>
              <w:bottom w:val="nil"/>
              <w:right w:val="single" w:sz="8" w:space="0" w:color="auto"/>
            </w:tcBorders>
            <w:shd w:val="clear" w:color="auto" w:fill="auto"/>
            <w:vAlign w:val="center"/>
            <w:hideMark/>
          </w:tcPr>
          <w:p>
            <w:pPr>
              <w:spacing w:before="0" w:after="0"/>
              <w:ind w:left="255"/>
              <w:jc w:val="left"/>
              <w:rPr>
                <w:rFonts w:cs="Arial"/>
                <w:color w:val="000000"/>
                <w:sz w:val="20"/>
                <w:szCs w:val="20"/>
              </w:rPr>
            </w:pPr>
            <w:r>
              <w:rPr>
                <w:rFonts w:cs="Arial"/>
                <w:color w:val="000000"/>
                <w:sz w:val="20"/>
                <w:szCs w:val="20"/>
              </w:rPr>
              <w:t>Hartes Kernkapital</w:t>
            </w:r>
          </w:p>
        </w:tc>
      </w:tr>
      <w:tr>
        <w:trPr>
          <w:trHeight w:val="357"/>
        </w:trPr>
        <w:tc>
          <w:tcPr>
            <w:tcW w:w="4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6</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Anrechenbar auf Solo-/Konzern-/Solo- und Konzernebene</w:t>
            </w:r>
          </w:p>
        </w:tc>
        <w:tc>
          <w:tcPr>
            <w:tcW w:w="3304" w:type="dxa"/>
            <w:tcBorders>
              <w:top w:val="single" w:sz="4" w:space="0" w:color="auto"/>
              <w:left w:val="nil"/>
              <w:bottom w:val="nil"/>
              <w:right w:val="single" w:sz="8" w:space="0" w:color="auto"/>
            </w:tcBorders>
            <w:shd w:val="clear" w:color="auto" w:fill="auto"/>
            <w:vAlign w:val="center"/>
            <w:hideMark/>
          </w:tcPr>
          <w:p>
            <w:pPr>
              <w:spacing w:before="0" w:after="0"/>
              <w:ind w:left="255"/>
              <w:jc w:val="left"/>
              <w:rPr>
                <w:rFonts w:cs="Arial"/>
                <w:color w:val="000000"/>
                <w:sz w:val="20"/>
                <w:szCs w:val="20"/>
              </w:rPr>
            </w:pPr>
            <w:r>
              <w:rPr>
                <w:rFonts w:cs="Arial"/>
                <w:color w:val="000000"/>
                <w:sz w:val="20"/>
                <w:szCs w:val="20"/>
              </w:rPr>
              <w:t>Soloebene</w:t>
            </w:r>
          </w:p>
        </w:tc>
      </w:tr>
      <w:tr>
        <w:trPr>
          <w:trHeight w:val="556"/>
        </w:trPr>
        <w:tc>
          <w:tcPr>
            <w:tcW w:w="474" w:type="dxa"/>
            <w:tcBorders>
              <w:top w:val="nil"/>
              <w:left w:val="single" w:sz="8" w:space="0" w:color="auto"/>
              <w:bottom w:val="nil"/>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7</w:t>
            </w:r>
          </w:p>
        </w:tc>
        <w:tc>
          <w:tcPr>
            <w:tcW w:w="5622" w:type="dxa"/>
            <w:tcBorders>
              <w:top w:val="nil"/>
              <w:left w:val="nil"/>
              <w:bottom w:val="nil"/>
              <w:right w:val="single" w:sz="4" w:space="0" w:color="auto"/>
            </w:tcBorders>
            <w:shd w:val="clear" w:color="auto" w:fill="auto"/>
            <w:vAlign w:val="center"/>
            <w:hideMark/>
          </w:tcPr>
          <w:p>
            <w:pPr>
              <w:spacing w:before="0" w:after="0"/>
              <w:jc w:val="left"/>
              <w:rPr>
                <w:rFonts w:cs="Arial"/>
                <w:color w:val="000000"/>
                <w:sz w:val="20"/>
                <w:szCs w:val="20"/>
              </w:rPr>
            </w:pPr>
            <w:proofErr w:type="spellStart"/>
            <w:r>
              <w:rPr>
                <w:rFonts w:cs="Arial"/>
                <w:color w:val="000000"/>
                <w:sz w:val="20"/>
                <w:szCs w:val="20"/>
              </w:rPr>
              <w:t>Instrumenttyp</w:t>
            </w:r>
            <w:proofErr w:type="spellEnd"/>
            <w:r>
              <w:rPr>
                <w:rFonts w:cs="Arial"/>
                <w:color w:val="000000"/>
                <w:sz w:val="20"/>
                <w:szCs w:val="20"/>
              </w:rPr>
              <w:t xml:space="preserve"> (Typen von jedem Land zu spezifizieren)</w:t>
            </w:r>
          </w:p>
        </w:tc>
        <w:tc>
          <w:tcPr>
            <w:tcW w:w="3304" w:type="dxa"/>
            <w:tcBorders>
              <w:top w:val="single" w:sz="4" w:space="0" w:color="auto"/>
              <w:left w:val="nil"/>
              <w:bottom w:val="nil"/>
              <w:right w:val="single" w:sz="8" w:space="0" w:color="auto"/>
            </w:tcBorders>
            <w:shd w:val="clear" w:color="auto" w:fill="auto"/>
            <w:vAlign w:val="center"/>
            <w:hideMark/>
          </w:tcPr>
          <w:p>
            <w:pPr>
              <w:spacing w:before="0" w:after="0"/>
              <w:ind w:left="255"/>
              <w:jc w:val="left"/>
              <w:rPr>
                <w:rFonts w:cs="Arial"/>
                <w:color w:val="000000"/>
                <w:sz w:val="20"/>
                <w:szCs w:val="20"/>
              </w:rPr>
            </w:pPr>
            <w:r>
              <w:rPr>
                <w:rFonts w:cs="Arial"/>
                <w:color w:val="000000"/>
                <w:sz w:val="20"/>
                <w:szCs w:val="20"/>
              </w:rPr>
              <w:t>Geschäftsguthaben gem. Art. 29 CRR</w:t>
            </w:r>
          </w:p>
        </w:tc>
      </w:tr>
      <w:tr>
        <w:trPr>
          <w:trHeight w:val="556"/>
        </w:trPr>
        <w:tc>
          <w:tcPr>
            <w:tcW w:w="474" w:type="dxa"/>
            <w:tcBorders>
              <w:top w:val="single" w:sz="4" w:space="0" w:color="auto"/>
              <w:left w:val="single" w:sz="8" w:space="0" w:color="auto"/>
              <w:bottom w:val="nil"/>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8</w:t>
            </w:r>
          </w:p>
        </w:tc>
        <w:tc>
          <w:tcPr>
            <w:tcW w:w="5622" w:type="dxa"/>
            <w:tcBorders>
              <w:top w:val="single" w:sz="4" w:space="0" w:color="auto"/>
              <w:left w:val="nil"/>
              <w:bottom w:val="nil"/>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 xml:space="preserve">Auf aufsichtsrechtliche Eigenmittel anrechenbarer Betrag </w:t>
            </w:r>
            <w:r>
              <w:rPr>
                <w:rFonts w:cs="Arial"/>
                <w:color w:val="000000"/>
                <w:sz w:val="20"/>
                <w:szCs w:val="20"/>
              </w:rPr>
              <w:br/>
              <w:t>(in TEUR, Stand letzter Meldestichtag)</w:t>
            </w:r>
          </w:p>
        </w:tc>
        <w:tc>
          <w:tcPr>
            <w:tcW w:w="3304" w:type="dxa"/>
            <w:tcBorders>
              <w:top w:val="single" w:sz="4" w:space="0" w:color="auto"/>
              <w:left w:val="nil"/>
              <w:bottom w:val="nil"/>
              <w:right w:val="single" w:sz="8" w:space="0" w:color="auto"/>
            </w:tcBorders>
            <w:shd w:val="clear" w:color="auto" w:fill="auto"/>
            <w:noWrap/>
            <w:vAlign w:val="center"/>
            <w:hideMark/>
          </w:tcPr>
          <w:p>
            <w:pPr>
              <w:spacing w:before="0" w:after="0"/>
              <w:ind w:left="255"/>
              <w:jc w:val="left"/>
              <w:rPr>
                <w:rFonts w:cs="Arial"/>
                <w:sz w:val="20"/>
                <w:szCs w:val="20"/>
              </w:rPr>
            </w:pPr>
            <w:r>
              <w:rPr>
                <w:rFonts w:cs="Arial"/>
                <w:sz w:val="20"/>
                <w:szCs w:val="20"/>
              </w:rPr>
              <w:t>6.103</w:t>
            </w:r>
          </w:p>
        </w:tc>
      </w:tr>
      <w:tr>
        <w:trPr>
          <w:trHeight w:val="357"/>
        </w:trPr>
        <w:tc>
          <w:tcPr>
            <w:tcW w:w="4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9</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Nennwert des Instruments (in TEUR)</w:t>
            </w:r>
          </w:p>
        </w:tc>
        <w:tc>
          <w:tcPr>
            <w:tcW w:w="3304" w:type="dxa"/>
            <w:tcBorders>
              <w:top w:val="single" w:sz="4" w:space="0" w:color="auto"/>
              <w:left w:val="nil"/>
              <w:bottom w:val="single" w:sz="4" w:space="0" w:color="auto"/>
              <w:right w:val="single" w:sz="8" w:space="0" w:color="auto"/>
            </w:tcBorders>
            <w:shd w:val="clear" w:color="auto" w:fill="auto"/>
            <w:noWrap/>
            <w:vAlign w:val="center"/>
            <w:hideMark/>
          </w:tcPr>
          <w:p>
            <w:pPr>
              <w:spacing w:before="0" w:after="0"/>
              <w:ind w:left="255"/>
              <w:jc w:val="left"/>
              <w:rPr>
                <w:rFonts w:cs="Arial"/>
                <w:sz w:val="20"/>
                <w:szCs w:val="20"/>
              </w:rPr>
            </w:pPr>
            <w:r>
              <w:rPr>
                <w:rFonts w:cs="Arial"/>
                <w:sz w:val="20"/>
                <w:szCs w:val="20"/>
              </w:rPr>
              <w:t>6.103</w:t>
            </w:r>
          </w:p>
        </w:tc>
      </w:tr>
      <w:tr>
        <w:trPr>
          <w:trHeight w:val="357"/>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9a</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Ausgabepreis</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sz w:val="20"/>
                <w:szCs w:val="20"/>
              </w:rPr>
            </w:pPr>
            <w:r>
              <w:rPr>
                <w:rFonts w:cs="Arial"/>
                <w:sz w:val="20"/>
                <w:szCs w:val="20"/>
              </w:rPr>
              <w:t>100%</w:t>
            </w:r>
          </w:p>
        </w:tc>
      </w:tr>
      <w:tr>
        <w:trPr>
          <w:trHeight w:val="357"/>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9b</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Tilgungspreis</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sz w:val="20"/>
                <w:szCs w:val="20"/>
              </w:rPr>
            </w:pPr>
            <w:r>
              <w:rPr>
                <w:rFonts w:cs="Arial"/>
                <w:sz w:val="20"/>
                <w:szCs w:val="20"/>
              </w:rPr>
              <w:t>100%</w:t>
            </w:r>
          </w:p>
        </w:tc>
      </w:tr>
      <w:tr>
        <w:trPr>
          <w:trHeight w:val="556"/>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10</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Rechnungslegungsklassifikation</w:t>
            </w:r>
          </w:p>
        </w:tc>
        <w:tc>
          <w:tcPr>
            <w:tcW w:w="3304" w:type="dxa"/>
            <w:tcBorders>
              <w:top w:val="nil"/>
              <w:left w:val="nil"/>
              <w:bottom w:val="nil"/>
              <w:right w:val="single" w:sz="8" w:space="0" w:color="auto"/>
            </w:tcBorders>
            <w:shd w:val="clear" w:color="auto" w:fill="auto"/>
            <w:vAlign w:val="center"/>
            <w:hideMark/>
          </w:tcPr>
          <w:p>
            <w:pPr>
              <w:spacing w:before="0" w:after="0"/>
              <w:ind w:left="255"/>
              <w:jc w:val="left"/>
              <w:rPr>
                <w:rFonts w:cs="Arial"/>
                <w:color w:val="000000"/>
                <w:sz w:val="20"/>
                <w:szCs w:val="20"/>
              </w:rPr>
            </w:pPr>
            <w:r>
              <w:rPr>
                <w:rFonts w:cs="Arial"/>
                <w:color w:val="000000"/>
                <w:sz w:val="20"/>
                <w:szCs w:val="20"/>
              </w:rPr>
              <w:t>Passivum - fortgeführter Einstandswert</w:t>
            </w:r>
          </w:p>
        </w:tc>
      </w:tr>
      <w:tr>
        <w:trPr>
          <w:trHeight w:val="357"/>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11</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Ursprüngliches Ausgabedatum</w:t>
            </w:r>
          </w:p>
        </w:tc>
        <w:tc>
          <w:tcPr>
            <w:tcW w:w="3304" w:type="dxa"/>
            <w:tcBorders>
              <w:top w:val="single" w:sz="4" w:space="0" w:color="auto"/>
              <w:left w:val="nil"/>
              <w:bottom w:val="single" w:sz="4" w:space="0" w:color="auto"/>
              <w:right w:val="single" w:sz="8" w:space="0" w:color="auto"/>
            </w:tcBorders>
            <w:shd w:val="clear" w:color="auto" w:fill="auto"/>
            <w:noWrap/>
            <w:vAlign w:val="center"/>
            <w:hideMark/>
          </w:tcPr>
          <w:p>
            <w:pPr>
              <w:spacing w:before="0" w:after="0"/>
              <w:ind w:left="255"/>
              <w:jc w:val="left"/>
              <w:rPr>
                <w:rFonts w:cs="Arial"/>
                <w:sz w:val="20"/>
                <w:szCs w:val="20"/>
              </w:rPr>
            </w:pPr>
            <w:r>
              <w:rPr>
                <w:rFonts w:cs="Arial"/>
                <w:sz w:val="20"/>
                <w:szCs w:val="20"/>
              </w:rPr>
              <w:t>fortlaufend</w:t>
            </w:r>
          </w:p>
        </w:tc>
      </w:tr>
      <w:tr>
        <w:trPr>
          <w:trHeight w:val="357"/>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12</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Unbefristet oder mit Verfallstermin</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unbefristet</w:t>
            </w:r>
          </w:p>
        </w:tc>
      </w:tr>
      <w:tr>
        <w:trPr>
          <w:trHeight w:val="357"/>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13</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Ursprünglicher Fälligkeitstermin</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keine Fälligkeit</w:t>
            </w:r>
          </w:p>
        </w:tc>
      </w:tr>
      <w:tr>
        <w:trPr>
          <w:trHeight w:val="556"/>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14</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Durch Emittenten kündbar mit vorheriger Zustimmung der Aufsicht</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sz w:val="20"/>
                <w:szCs w:val="20"/>
              </w:rPr>
            </w:pPr>
            <w:r>
              <w:rPr>
                <w:rFonts w:cs="Arial"/>
                <w:sz w:val="20"/>
                <w:szCs w:val="20"/>
              </w:rPr>
              <w:t>nein</w:t>
            </w:r>
          </w:p>
        </w:tc>
      </w:tr>
      <w:tr>
        <w:trPr>
          <w:trHeight w:val="556"/>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15</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Wählbarer Kündigungstermin, bedingte Kündigungstermine und Tilgungsbetrag</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0</w:t>
            </w:r>
          </w:p>
        </w:tc>
      </w:tr>
      <w:tr>
        <w:trPr>
          <w:trHeight w:val="357"/>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16</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Spätere Kündigungstermine, wenn anwendbar</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0</w:t>
            </w:r>
          </w:p>
        </w:tc>
      </w:tr>
      <w:tr>
        <w:trPr>
          <w:trHeight w:val="357"/>
        </w:trPr>
        <w:tc>
          <w:tcPr>
            <w:tcW w:w="474" w:type="dxa"/>
            <w:tcBorders>
              <w:top w:val="nil"/>
              <w:left w:val="single" w:sz="8" w:space="0" w:color="auto"/>
              <w:bottom w:val="nil"/>
              <w:right w:val="nil"/>
            </w:tcBorders>
            <w:shd w:val="clear" w:color="auto" w:fill="D9D9D9" w:themeFill="background1" w:themeFillShade="D9"/>
            <w:noWrap/>
            <w:vAlign w:val="center"/>
            <w:hideMark/>
          </w:tcPr>
          <w:p>
            <w:pPr>
              <w:spacing w:before="0" w:after="0"/>
              <w:jc w:val="left"/>
              <w:rPr>
                <w:rFonts w:cs="Arial"/>
                <w:color w:val="000000"/>
                <w:sz w:val="20"/>
                <w:szCs w:val="20"/>
              </w:rPr>
            </w:pPr>
            <w:r>
              <w:rPr>
                <w:rFonts w:cs="Arial"/>
                <w:color w:val="000000"/>
                <w:sz w:val="20"/>
                <w:szCs w:val="20"/>
              </w:rPr>
              <w:t> </w:t>
            </w:r>
          </w:p>
        </w:tc>
        <w:tc>
          <w:tcPr>
            <w:tcW w:w="5622" w:type="dxa"/>
            <w:tcBorders>
              <w:top w:val="nil"/>
              <w:left w:val="nil"/>
              <w:bottom w:val="nil"/>
              <w:right w:val="nil"/>
            </w:tcBorders>
            <w:shd w:val="clear" w:color="auto" w:fill="D9D9D9" w:themeFill="background1" w:themeFillShade="D9"/>
            <w:vAlign w:val="center"/>
            <w:hideMark/>
          </w:tcPr>
          <w:p>
            <w:pPr>
              <w:spacing w:before="0" w:after="0"/>
              <w:jc w:val="left"/>
              <w:rPr>
                <w:rFonts w:cs="Arial"/>
                <w:i/>
                <w:iCs/>
                <w:color w:val="000000"/>
                <w:sz w:val="20"/>
                <w:szCs w:val="20"/>
              </w:rPr>
            </w:pPr>
            <w:r>
              <w:rPr>
                <w:rFonts w:cs="Arial"/>
                <w:i/>
                <w:iCs/>
                <w:color w:val="000000"/>
                <w:sz w:val="20"/>
                <w:szCs w:val="20"/>
              </w:rPr>
              <w:t>Coupons / Dividenden</w:t>
            </w:r>
          </w:p>
        </w:tc>
        <w:tc>
          <w:tcPr>
            <w:tcW w:w="3304" w:type="dxa"/>
            <w:tcBorders>
              <w:top w:val="nil"/>
              <w:left w:val="nil"/>
              <w:bottom w:val="nil"/>
              <w:right w:val="single" w:sz="8" w:space="0" w:color="auto"/>
            </w:tcBorders>
            <w:shd w:val="clear" w:color="auto" w:fill="D9D9D9" w:themeFill="background1" w:themeFillShade="D9"/>
            <w:noWrap/>
            <w:vAlign w:val="center"/>
            <w:hideMark/>
          </w:tcPr>
          <w:p>
            <w:pPr>
              <w:spacing w:before="0" w:after="0"/>
              <w:ind w:left="255"/>
              <w:jc w:val="left"/>
              <w:rPr>
                <w:rFonts w:cs="Arial"/>
                <w:color w:val="000000"/>
                <w:sz w:val="20"/>
                <w:szCs w:val="20"/>
              </w:rPr>
            </w:pPr>
            <w:r>
              <w:rPr>
                <w:rFonts w:cs="Arial"/>
                <w:color w:val="000000"/>
                <w:sz w:val="20"/>
                <w:szCs w:val="20"/>
              </w:rPr>
              <w:t> </w:t>
            </w:r>
          </w:p>
        </w:tc>
      </w:tr>
      <w:tr>
        <w:trPr>
          <w:trHeight w:val="357"/>
        </w:trPr>
        <w:tc>
          <w:tcPr>
            <w:tcW w:w="4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17</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variable Dividenden-/Couponzahlungen</w:t>
            </w:r>
          </w:p>
        </w:tc>
        <w:tc>
          <w:tcPr>
            <w:tcW w:w="3304" w:type="dxa"/>
            <w:tcBorders>
              <w:top w:val="single" w:sz="4" w:space="0" w:color="auto"/>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variabel</w:t>
            </w:r>
          </w:p>
        </w:tc>
      </w:tr>
      <w:tr>
        <w:trPr>
          <w:trHeight w:val="357"/>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18</w:t>
            </w:r>
          </w:p>
        </w:tc>
        <w:tc>
          <w:tcPr>
            <w:tcW w:w="5622" w:type="dxa"/>
            <w:tcBorders>
              <w:top w:val="nil"/>
              <w:left w:val="nil"/>
              <w:bottom w:val="nil"/>
              <w:right w:val="nil"/>
            </w:tcBorders>
            <w:shd w:val="clear" w:color="auto" w:fill="auto"/>
            <w:vAlign w:val="center"/>
            <w:hideMark/>
          </w:tcPr>
          <w:p>
            <w:pPr>
              <w:spacing w:before="0" w:after="0"/>
              <w:jc w:val="left"/>
              <w:rPr>
                <w:rFonts w:cs="Arial"/>
                <w:color w:val="000000"/>
                <w:sz w:val="20"/>
                <w:szCs w:val="20"/>
              </w:rPr>
            </w:pPr>
            <w:r>
              <w:rPr>
                <w:rFonts w:cs="Arial"/>
                <w:color w:val="000000"/>
                <w:sz w:val="20"/>
                <w:szCs w:val="20"/>
              </w:rPr>
              <w:t>Nominalcoupon und etwaiger Referenzindex</w:t>
            </w:r>
          </w:p>
        </w:tc>
        <w:tc>
          <w:tcPr>
            <w:tcW w:w="3304"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0</w:t>
            </w:r>
          </w:p>
        </w:tc>
      </w:tr>
      <w:tr>
        <w:trPr>
          <w:trHeight w:val="357"/>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19</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Bestehen eines "Dividenden-Stopps"</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nein</w:t>
            </w:r>
          </w:p>
        </w:tc>
      </w:tr>
      <w:tr>
        <w:trPr>
          <w:trHeight w:val="556"/>
        </w:trPr>
        <w:tc>
          <w:tcPr>
            <w:tcW w:w="474" w:type="dxa"/>
            <w:vMerge w:val="restart"/>
            <w:tcBorders>
              <w:top w:val="nil"/>
              <w:left w:val="single" w:sz="8" w:space="0" w:color="auto"/>
              <w:bottom w:val="single" w:sz="4" w:space="0" w:color="000000"/>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20a</w:t>
            </w:r>
          </w:p>
        </w:tc>
        <w:tc>
          <w:tcPr>
            <w:tcW w:w="5622"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Vollständig diskretionär, teilweise diskretionär oder zwingend (zeitlich)</w:t>
            </w:r>
          </w:p>
        </w:tc>
        <w:tc>
          <w:tcPr>
            <w:tcW w:w="3304" w:type="dxa"/>
            <w:vMerge w:val="restart"/>
            <w:tcBorders>
              <w:top w:val="nil"/>
              <w:left w:val="single" w:sz="4" w:space="0" w:color="auto"/>
              <w:bottom w:val="single" w:sz="4" w:space="0" w:color="000000"/>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vollständig diskretionär</w:t>
            </w:r>
          </w:p>
        </w:tc>
      </w:tr>
      <w:tr>
        <w:trPr>
          <w:trHeight w:val="342"/>
        </w:trPr>
        <w:tc>
          <w:tcPr>
            <w:tcW w:w="474" w:type="dxa"/>
            <w:vMerge/>
            <w:tcBorders>
              <w:top w:val="nil"/>
              <w:left w:val="single" w:sz="8" w:space="0" w:color="auto"/>
              <w:bottom w:val="single" w:sz="4" w:space="0" w:color="000000"/>
              <w:right w:val="single" w:sz="4" w:space="0" w:color="auto"/>
            </w:tcBorders>
            <w:vAlign w:val="center"/>
            <w:hideMark/>
          </w:tcPr>
          <w:p>
            <w:pPr>
              <w:spacing w:before="0" w:after="0"/>
              <w:jc w:val="left"/>
              <w:rPr>
                <w:rFonts w:cs="Arial"/>
                <w:color w:val="000000"/>
                <w:sz w:val="20"/>
                <w:szCs w:val="20"/>
              </w:rPr>
            </w:pPr>
          </w:p>
        </w:tc>
        <w:tc>
          <w:tcPr>
            <w:tcW w:w="5622" w:type="dxa"/>
            <w:vMerge/>
            <w:tcBorders>
              <w:top w:val="nil"/>
              <w:left w:val="single" w:sz="4" w:space="0" w:color="auto"/>
              <w:bottom w:val="single" w:sz="4" w:space="0" w:color="000000"/>
              <w:right w:val="single" w:sz="4" w:space="0" w:color="auto"/>
            </w:tcBorders>
            <w:shd w:val="clear" w:color="auto" w:fill="auto"/>
            <w:vAlign w:val="center"/>
            <w:hideMark/>
          </w:tcPr>
          <w:p>
            <w:pPr>
              <w:spacing w:before="0" w:after="0"/>
              <w:jc w:val="left"/>
              <w:rPr>
                <w:rFonts w:cs="Arial"/>
                <w:color w:val="000000"/>
                <w:sz w:val="20"/>
                <w:szCs w:val="20"/>
              </w:rPr>
            </w:pPr>
          </w:p>
        </w:tc>
        <w:tc>
          <w:tcPr>
            <w:tcW w:w="3304" w:type="dxa"/>
            <w:vMerge/>
            <w:tcBorders>
              <w:top w:val="nil"/>
              <w:left w:val="single" w:sz="4" w:space="0" w:color="auto"/>
              <w:bottom w:val="single" w:sz="4" w:space="0" w:color="000000"/>
              <w:right w:val="single" w:sz="8" w:space="0" w:color="auto"/>
            </w:tcBorders>
            <w:shd w:val="clear" w:color="auto" w:fill="auto"/>
            <w:vAlign w:val="center"/>
            <w:hideMark/>
          </w:tcPr>
          <w:p>
            <w:pPr>
              <w:spacing w:before="0" w:after="0"/>
              <w:ind w:left="255"/>
              <w:jc w:val="left"/>
              <w:rPr>
                <w:rFonts w:cs="Arial"/>
                <w:color w:val="000000"/>
                <w:sz w:val="20"/>
                <w:szCs w:val="20"/>
              </w:rPr>
            </w:pPr>
          </w:p>
        </w:tc>
      </w:tr>
      <w:tr>
        <w:trPr>
          <w:trHeight w:val="556"/>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20b</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Vollständig diskretionär, teilweise diskretionär oder zwingend (in Bezug auf den Betrag)</w:t>
            </w:r>
          </w:p>
        </w:tc>
        <w:tc>
          <w:tcPr>
            <w:tcW w:w="3304" w:type="dxa"/>
            <w:tcBorders>
              <w:top w:val="nil"/>
              <w:left w:val="nil"/>
              <w:bottom w:val="nil"/>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vollständig diskretionär</w:t>
            </w:r>
          </w:p>
        </w:tc>
      </w:tr>
      <w:tr>
        <w:trPr>
          <w:trHeight w:val="556"/>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21</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Bestehen einer Kostenanstiegsklausel oder eines anderen Tilgungsanreizes</w:t>
            </w:r>
          </w:p>
        </w:tc>
        <w:tc>
          <w:tcPr>
            <w:tcW w:w="3304" w:type="dxa"/>
            <w:tcBorders>
              <w:top w:val="single" w:sz="4" w:space="0" w:color="auto"/>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nein</w:t>
            </w:r>
          </w:p>
        </w:tc>
      </w:tr>
      <w:tr>
        <w:trPr>
          <w:trHeight w:val="357"/>
        </w:trPr>
        <w:tc>
          <w:tcPr>
            <w:tcW w:w="4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22</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Nicht kumulativ oder kumulativ</w:t>
            </w:r>
          </w:p>
        </w:tc>
        <w:tc>
          <w:tcPr>
            <w:tcW w:w="3304" w:type="dxa"/>
            <w:tcBorders>
              <w:top w:val="single" w:sz="4" w:space="0" w:color="auto"/>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nicht kumulativ</w:t>
            </w:r>
          </w:p>
        </w:tc>
      </w:tr>
      <w:tr>
        <w:trPr>
          <w:trHeight w:val="402"/>
        </w:trPr>
        <w:tc>
          <w:tcPr>
            <w:tcW w:w="4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23</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Wandelbar oder nicht wandelbar</w:t>
            </w:r>
          </w:p>
        </w:tc>
        <w:tc>
          <w:tcPr>
            <w:tcW w:w="3304" w:type="dxa"/>
            <w:tcBorders>
              <w:top w:val="single" w:sz="4" w:space="0" w:color="auto"/>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nicht wandelbar</w:t>
            </w:r>
          </w:p>
        </w:tc>
      </w:tr>
      <w:tr>
        <w:trPr>
          <w:trHeight w:val="402"/>
        </w:trPr>
        <w:tc>
          <w:tcPr>
            <w:tcW w:w="4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lastRenderedPageBreak/>
              <w:t>24</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Wenn wandelbar: Auslöser für die Wandlung</w:t>
            </w:r>
          </w:p>
        </w:tc>
        <w:tc>
          <w:tcPr>
            <w:tcW w:w="3304" w:type="dxa"/>
            <w:tcBorders>
              <w:top w:val="single" w:sz="4" w:space="0" w:color="auto"/>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0</w:t>
            </w:r>
          </w:p>
        </w:tc>
      </w:tr>
      <w:tr>
        <w:trPr>
          <w:trHeight w:val="402"/>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25</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Wenn wandelbar: ganz oder teilweise</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0</w:t>
            </w:r>
          </w:p>
        </w:tc>
      </w:tr>
      <w:tr>
        <w:trPr>
          <w:trHeight w:val="402"/>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26</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Wenn wandelbar: Wandlungsrate</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0</w:t>
            </w:r>
          </w:p>
        </w:tc>
      </w:tr>
      <w:tr>
        <w:trPr>
          <w:trHeight w:val="402"/>
        </w:trPr>
        <w:tc>
          <w:tcPr>
            <w:tcW w:w="474" w:type="dxa"/>
            <w:tcBorders>
              <w:top w:val="nil"/>
              <w:left w:val="single" w:sz="8" w:space="0" w:color="auto"/>
              <w:bottom w:val="nil"/>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27</w:t>
            </w:r>
          </w:p>
        </w:tc>
        <w:tc>
          <w:tcPr>
            <w:tcW w:w="5622" w:type="dxa"/>
            <w:tcBorders>
              <w:top w:val="nil"/>
              <w:left w:val="nil"/>
              <w:bottom w:val="nil"/>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Wenn wandelbar: Wandlung obligatorisch oder fakultativ</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0</w:t>
            </w:r>
          </w:p>
        </w:tc>
      </w:tr>
      <w:tr>
        <w:trPr>
          <w:trHeight w:val="402"/>
        </w:trPr>
        <w:tc>
          <w:tcPr>
            <w:tcW w:w="4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28</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Wenn wandelbar: Typ des Instruments, in das gewandelt wird</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0</w:t>
            </w:r>
          </w:p>
        </w:tc>
      </w:tr>
      <w:tr>
        <w:trPr>
          <w:trHeight w:val="675"/>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29</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Wenn wandelbar: Emittent des Instruments, in das gewandelt wird</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0</w:t>
            </w:r>
          </w:p>
        </w:tc>
      </w:tr>
      <w:tr>
        <w:trPr>
          <w:trHeight w:val="402"/>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30</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Herabschreibungsmerkmale</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ja</w:t>
            </w:r>
          </w:p>
        </w:tc>
      </w:tr>
      <w:tr>
        <w:trPr>
          <w:trHeight w:val="510"/>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31</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Bei Herabschreibung: Auslöser für die Herabschreibung</w:t>
            </w:r>
          </w:p>
        </w:tc>
        <w:tc>
          <w:tcPr>
            <w:tcW w:w="3304" w:type="dxa"/>
            <w:tcBorders>
              <w:top w:val="nil"/>
              <w:left w:val="nil"/>
              <w:bottom w:val="single" w:sz="4" w:space="0" w:color="auto"/>
              <w:right w:val="single" w:sz="8" w:space="0" w:color="auto"/>
            </w:tcBorders>
            <w:shd w:val="clear" w:color="auto" w:fill="auto"/>
            <w:vAlign w:val="center"/>
            <w:hideMark/>
          </w:tcPr>
          <w:p>
            <w:pPr>
              <w:spacing w:before="0" w:after="0"/>
              <w:ind w:left="255"/>
              <w:jc w:val="left"/>
              <w:rPr>
                <w:rFonts w:cs="Arial"/>
                <w:color w:val="000000"/>
                <w:sz w:val="20"/>
                <w:szCs w:val="20"/>
              </w:rPr>
            </w:pPr>
            <w:r>
              <w:rPr>
                <w:rFonts w:cs="Arial"/>
                <w:color w:val="000000"/>
                <w:sz w:val="20"/>
                <w:szCs w:val="20"/>
              </w:rPr>
              <w:t xml:space="preserve">Verlustverteilung gem. § 19 </w:t>
            </w:r>
            <w:r>
              <w:rPr>
                <w:rFonts w:cs="Arial"/>
                <w:color w:val="000000"/>
                <w:sz w:val="20"/>
                <w:szCs w:val="20"/>
              </w:rPr>
              <w:br/>
              <w:t>Abs. 1 GenG</w:t>
            </w:r>
          </w:p>
        </w:tc>
      </w:tr>
      <w:tr>
        <w:trPr>
          <w:trHeight w:val="402"/>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32</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Bei Herabschreibung: ganz oder teilweise</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ganz oder teilweise</w:t>
            </w:r>
          </w:p>
        </w:tc>
      </w:tr>
      <w:tr>
        <w:trPr>
          <w:trHeight w:val="402"/>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33</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Bei Herabschreibung: dauerhaft oder vorübergehend</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vorübergehend</w:t>
            </w:r>
          </w:p>
        </w:tc>
      </w:tr>
      <w:tr>
        <w:trPr>
          <w:trHeight w:val="1200"/>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34</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Bei vorübergehender Herabschreibung: Mechanismus der Wiederzuschreibung</w:t>
            </w:r>
          </w:p>
        </w:tc>
        <w:tc>
          <w:tcPr>
            <w:tcW w:w="3304" w:type="dxa"/>
            <w:tcBorders>
              <w:top w:val="nil"/>
              <w:left w:val="nil"/>
              <w:bottom w:val="single" w:sz="4" w:space="0" w:color="auto"/>
              <w:right w:val="single" w:sz="8" w:space="0" w:color="auto"/>
            </w:tcBorders>
            <w:shd w:val="clear" w:color="auto" w:fill="auto"/>
            <w:vAlign w:val="center"/>
            <w:hideMark/>
          </w:tcPr>
          <w:p>
            <w:pPr>
              <w:spacing w:before="0" w:after="0"/>
              <w:ind w:left="255"/>
              <w:jc w:val="left"/>
              <w:rPr>
                <w:rFonts w:cs="Arial"/>
                <w:color w:val="000000"/>
                <w:sz w:val="20"/>
                <w:szCs w:val="20"/>
              </w:rPr>
            </w:pPr>
            <w:r>
              <w:rPr>
                <w:rFonts w:cs="Arial"/>
                <w:color w:val="000000"/>
                <w:sz w:val="20"/>
                <w:szCs w:val="20"/>
              </w:rPr>
              <w:t>Nach Verlustabschreibung muss der Gewinnanteil dem Geschäftsanteil bis zur Volleinzahlung wieder gutgeschrieben werden.</w:t>
            </w:r>
          </w:p>
        </w:tc>
      </w:tr>
      <w:tr>
        <w:trPr>
          <w:trHeight w:val="675"/>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35</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Position in der Rangfolge im Liquidationsfall (das jeweils ranghöhere Instrument nennen)</w:t>
            </w:r>
          </w:p>
        </w:tc>
        <w:tc>
          <w:tcPr>
            <w:tcW w:w="3304" w:type="dxa"/>
            <w:tcBorders>
              <w:top w:val="nil"/>
              <w:left w:val="nil"/>
              <w:bottom w:val="single" w:sz="4" w:space="0" w:color="auto"/>
              <w:right w:val="single" w:sz="8" w:space="0" w:color="auto"/>
            </w:tcBorders>
            <w:shd w:val="clear" w:color="auto" w:fill="auto"/>
            <w:vAlign w:val="center"/>
            <w:hideMark/>
          </w:tcPr>
          <w:p>
            <w:pPr>
              <w:spacing w:before="0" w:after="0"/>
              <w:ind w:left="255"/>
              <w:jc w:val="left"/>
              <w:rPr>
                <w:rFonts w:cs="Arial"/>
                <w:color w:val="000000"/>
                <w:sz w:val="20"/>
                <w:szCs w:val="20"/>
              </w:rPr>
            </w:pPr>
            <w:r>
              <w:rPr>
                <w:rFonts w:cs="Arial"/>
                <w:color w:val="000000"/>
                <w:sz w:val="20"/>
                <w:szCs w:val="20"/>
              </w:rPr>
              <w:t>Nichtnachrangige Verbindlichkeiten</w:t>
            </w:r>
          </w:p>
        </w:tc>
      </w:tr>
      <w:tr>
        <w:trPr>
          <w:trHeight w:val="402"/>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36</w:t>
            </w:r>
          </w:p>
        </w:tc>
        <w:tc>
          <w:tcPr>
            <w:tcW w:w="5622" w:type="dxa"/>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 xml:space="preserve">Unvorschriftsmäßige Merkmale der gewandelten Instrumente </w:t>
            </w:r>
          </w:p>
        </w:tc>
        <w:tc>
          <w:tcPr>
            <w:tcW w:w="3304" w:type="dxa"/>
            <w:tcBorders>
              <w:top w:val="nil"/>
              <w:left w:val="nil"/>
              <w:bottom w:val="single" w:sz="4"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nein</w:t>
            </w:r>
          </w:p>
        </w:tc>
      </w:tr>
      <w:tr>
        <w:trPr>
          <w:trHeight w:val="402"/>
        </w:trPr>
        <w:tc>
          <w:tcPr>
            <w:tcW w:w="474" w:type="dxa"/>
            <w:tcBorders>
              <w:top w:val="nil"/>
              <w:left w:val="single" w:sz="8" w:space="0" w:color="auto"/>
              <w:bottom w:val="single" w:sz="8" w:space="0" w:color="auto"/>
              <w:right w:val="single" w:sz="4" w:space="0" w:color="auto"/>
            </w:tcBorders>
            <w:shd w:val="clear" w:color="auto" w:fill="auto"/>
            <w:noWrap/>
            <w:vAlign w:val="center"/>
            <w:hideMark/>
          </w:tcPr>
          <w:p>
            <w:pPr>
              <w:spacing w:before="0" w:after="0"/>
              <w:jc w:val="left"/>
              <w:rPr>
                <w:rFonts w:cs="Arial"/>
                <w:color w:val="000000"/>
                <w:sz w:val="20"/>
                <w:szCs w:val="20"/>
              </w:rPr>
            </w:pPr>
            <w:r>
              <w:rPr>
                <w:rFonts w:cs="Arial"/>
                <w:color w:val="000000"/>
                <w:sz w:val="20"/>
                <w:szCs w:val="20"/>
              </w:rPr>
              <w:t>37</w:t>
            </w:r>
          </w:p>
        </w:tc>
        <w:tc>
          <w:tcPr>
            <w:tcW w:w="5622" w:type="dxa"/>
            <w:tcBorders>
              <w:top w:val="nil"/>
              <w:left w:val="nil"/>
              <w:bottom w:val="single" w:sz="8"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Ggf. unvorschriftsmäßige Merkmale nennen</w:t>
            </w:r>
          </w:p>
        </w:tc>
        <w:tc>
          <w:tcPr>
            <w:tcW w:w="3304" w:type="dxa"/>
            <w:tcBorders>
              <w:top w:val="nil"/>
              <w:left w:val="nil"/>
              <w:bottom w:val="single" w:sz="8" w:space="0" w:color="auto"/>
              <w:right w:val="single" w:sz="8" w:space="0" w:color="auto"/>
            </w:tcBorders>
            <w:shd w:val="clear" w:color="auto" w:fill="auto"/>
            <w:noWrap/>
            <w:vAlign w:val="center"/>
            <w:hideMark/>
          </w:tcPr>
          <w:p>
            <w:pPr>
              <w:spacing w:before="0" w:after="0"/>
              <w:ind w:left="255"/>
              <w:jc w:val="left"/>
              <w:rPr>
                <w:rFonts w:cs="Arial"/>
                <w:color w:val="000000"/>
                <w:sz w:val="20"/>
                <w:szCs w:val="20"/>
              </w:rPr>
            </w:pPr>
            <w:r>
              <w:rPr>
                <w:rFonts w:cs="Arial"/>
                <w:color w:val="000000"/>
                <w:sz w:val="20"/>
                <w:szCs w:val="20"/>
              </w:rPr>
              <w:t>0</w:t>
            </w:r>
          </w:p>
        </w:tc>
      </w:tr>
    </w:tbl>
    <w:p/>
    <w:p>
      <w:pPr>
        <w:spacing w:before="0" w:after="0"/>
        <w:jc w:val="left"/>
        <w:rPr>
          <w:rFonts w:ascii="Arial Fett" w:hAnsi="Arial Fett" w:cs="Arial"/>
          <w:b/>
          <w:bCs/>
          <w:color w:val="FF0000"/>
          <w:kern w:val="32"/>
          <w:sz w:val="32"/>
          <w:szCs w:val="32"/>
        </w:rPr>
      </w:pPr>
      <w:r>
        <w:rPr>
          <w:color w:val="FF0000"/>
        </w:rPr>
        <w:br w:type="page"/>
      </w:r>
    </w:p>
    <w:p>
      <w:pPr>
        <w:pStyle w:val="berschrift1"/>
        <w:numPr>
          <w:ilvl w:val="0"/>
          <w:numId w:val="13"/>
        </w:numPr>
        <w:rPr>
          <w:sz w:val="28"/>
          <w:szCs w:val="28"/>
        </w:rPr>
      </w:pPr>
      <w:bookmarkStart w:id="29" w:name="_Toc436146690"/>
      <w:r>
        <w:rPr>
          <w:sz w:val="28"/>
          <w:szCs w:val="28"/>
        </w:rPr>
        <w:lastRenderedPageBreak/>
        <w:t xml:space="preserve">Offenlegung der Eigenmittel </w:t>
      </w:r>
      <w:bookmarkEnd w:id="29"/>
    </w:p>
    <w:tbl>
      <w:tblPr>
        <w:tblW w:w="9957" w:type="dxa"/>
        <w:tblInd w:w="5" w:type="dxa"/>
        <w:tblLayout w:type="fixed"/>
        <w:tblCellMar>
          <w:left w:w="70" w:type="dxa"/>
          <w:right w:w="70" w:type="dxa"/>
        </w:tblCellMar>
        <w:tblLook w:val="0000" w:firstRow="0" w:lastRow="0" w:firstColumn="0" w:lastColumn="0" w:noHBand="0" w:noVBand="0"/>
      </w:tblPr>
      <w:tblGrid>
        <w:gridCol w:w="43"/>
        <w:gridCol w:w="465"/>
        <w:gridCol w:w="190"/>
        <w:gridCol w:w="3911"/>
        <w:gridCol w:w="993"/>
        <w:gridCol w:w="525"/>
        <w:gridCol w:w="1317"/>
        <w:gridCol w:w="577"/>
        <w:gridCol w:w="1833"/>
        <w:gridCol w:w="103"/>
      </w:tblGrid>
      <w:tr>
        <w:trPr>
          <w:gridBefore w:val="1"/>
          <w:gridAfter w:val="1"/>
          <w:wBefore w:w="43" w:type="dxa"/>
          <w:wAfter w:w="103" w:type="dxa"/>
          <w:trHeight w:val="134"/>
        </w:trPr>
        <w:tc>
          <w:tcPr>
            <w:tcW w:w="655" w:type="dxa"/>
            <w:gridSpan w:val="2"/>
            <w:tcBorders>
              <w:top w:val="nil"/>
              <w:left w:val="nil"/>
              <w:bottom w:val="nil"/>
              <w:right w:val="nil"/>
            </w:tcBorders>
          </w:tcPr>
          <w:p>
            <w:pPr>
              <w:autoSpaceDE w:val="0"/>
              <w:autoSpaceDN w:val="0"/>
              <w:adjustRightInd w:val="0"/>
              <w:spacing w:before="0" w:after="0"/>
              <w:jc w:val="right"/>
              <w:rPr>
                <w:rFonts w:cs="Arial"/>
                <w:color w:val="000000"/>
                <w:szCs w:val="22"/>
              </w:rPr>
            </w:pPr>
          </w:p>
        </w:tc>
        <w:tc>
          <w:tcPr>
            <w:tcW w:w="3911" w:type="dxa"/>
            <w:tcBorders>
              <w:top w:val="nil"/>
              <w:left w:val="nil"/>
              <w:bottom w:val="nil"/>
              <w:right w:val="nil"/>
            </w:tcBorders>
          </w:tcPr>
          <w:p>
            <w:pPr>
              <w:autoSpaceDE w:val="0"/>
              <w:autoSpaceDN w:val="0"/>
              <w:adjustRightInd w:val="0"/>
              <w:spacing w:before="0" w:after="0"/>
              <w:jc w:val="right"/>
              <w:rPr>
                <w:rFonts w:cs="Arial"/>
                <w:color w:val="000000"/>
                <w:szCs w:val="22"/>
              </w:rPr>
            </w:pPr>
          </w:p>
        </w:tc>
        <w:tc>
          <w:tcPr>
            <w:tcW w:w="993" w:type="dxa"/>
            <w:tcBorders>
              <w:top w:val="nil"/>
              <w:left w:val="nil"/>
              <w:bottom w:val="nil"/>
              <w:right w:val="nil"/>
            </w:tcBorders>
          </w:tcPr>
          <w:p>
            <w:pPr>
              <w:autoSpaceDE w:val="0"/>
              <w:autoSpaceDN w:val="0"/>
              <w:adjustRightInd w:val="0"/>
              <w:spacing w:before="0" w:after="0"/>
              <w:jc w:val="right"/>
              <w:rPr>
                <w:rFonts w:cs="Arial"/>
                <w:color w:val="000000"/>
                <w:szCs w:val="22"/>
              </w:rPr>
            </w:pPr>
          </w:p>
        </w:tc>
        <w:tc>
          <w:tcPr>
            <w:tcW w:w="1842" w:type="dxa"/>
            <w:gridSpan w:val="2"/>
            <w:tcBorders>
              <w:top w:val="nil"/>
              <w:left w:val="nil"/>
              <w:bottom w:val="nil"/>
              <w:right w:val="nil"/>
            </w:tcBorders>
          </w:tcPr>
          <w:p>
            <w:pPr>
              <w:autoSpaceDE w:val="0"/>
              <w:autoSpaceDN w:val="0"/>
              <w:adjustRightInd w:val="0"/>
              <w:spacing w:before="0" w:after="0"/>
              <w:jc w:val="right"/>
              <w:rPr>
                <w:rFonts w:cs="Arial"/>
                <w:color w:val="000000"/>
                <w:sz w:val="18"/>
                <w:szCs w:val="18"/>
              </w:rPr>
            </w:pPr>
          </w:p>
        </w:tc>
        <w:tc>
          <w:tcPr>
            <w:tcW w:w="2410" w:type="dxa"/>
            <w:gridSpan w:val="2"/>
            <w:tcBorders>
              <w:top w:val="nil"/>
              <w:left w:val="nil"/>
              <w:bottom w:val="nil"/>
              <w:right w:val="nil"/>
            </w:tcBorders>
          </w:tcPr>
          <w:p>
            <w:pPr>
              <w:autoSpaceDE w:val="0"/>
              <w:autoSpaceDN w:val="0"/>
              <w:adjustRightInd w:val="0"/>
              <w:spacing w:before="0" w:after="0"/>
              <w:jc w:val="right"/>
              <w:rPr>
                <w:rFonts w:cs="Arial"/>
                <w:color w:val="000000"/>
                <w:szCs w:val="22"/>
              </w:rPr>
            </w:pPr>
          </w:p>
        </w:tc>
      </w:tr>
      <w:tr>
        <w:tblPrEx>
          <w:tblLook w:val="04A0" w:firstRow="1" w:lastRow="0" w:firstColumn="1" w:lastColumn="0" w:noHBand="0" w:noVBand="1"/>
        </w:tblPrEx>
        <w:trPr>
          <w:trHeight w:val="960"/>
        </w:trPr>
        <w:tc>
          <w:tcPr>
            <w:tcW w:w="6127" w:type="dxa"/>
            <w:gridSpan w:val="6"/>
            <w:tcBorders>
              <w:top w:val="single" w:sz="4" w:space="0" w:color="auto"/>
              <w:left w:val="single" w:sz="4" w:space="0" w:color="auto"/>
              <w:bottom w:val="single" w:sz="4" w:space="0" w:color="auto"/>
              <w:right w:val="single" w:sz="4" w:space="0" w:color="000000"/>
            </w:tcBorders>
            <w:shd w:val="clear" w:color="000000" w:fill="00B0F0"/>
            <w:vAlign w:val="center"/>
            <w:hideMark/>
          </w:tcPr>
          <w:p>
            <w:pPr>
              <w:spacing w:before="0" w:after="0"/>
              <w:jc w:val="center"/>
              <w:rPr>
                <w:rFonts w:cs="Arial"/>
                <w:b/>
                <w:bCs/>
                <w:sz w:val="18"/>
                <w:szCs w:val="18"/>
              </w:rPr>
            </w:pPr>
            <w:r>
              <w:rPr>
                <w:rFonts w:cs="Arial"/>
                <w:b/>
                <w:bCs/>
                <w:sz w:val="18"/>
                <w:szCs w:val="18"/>
              </w:rPr>
              <w:t> </w:t>
            </w:r>
          </w:p>
        </w:tc>
        <w:tc>
          <w:tcPr>
            <w:tcW w:w="1894"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Betrag am Tag der Offenlegung*</w:t>
            </w:r>
          </w:p>
        </w:tc>
        <w:tc>
          <w:tcPr>
            <w:tcW w:w="1936"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 xml:space="preserve">Verordnung </w:t>
            </w:r>
            <w:r>
              <w:rPr>
                <w:rFonts w:cs="Arial"/>
                <w:b/>
                <w:bCs/>
                <w:color w:val="FFFFFF"/>
                <w:sz w:val="18"/>
                <w:szCs w:val="18"/>
              </w:rPr>
              <w:br/>
              <w:t>EU (Nr.) 575/2013 Verweis auf Artikel</w:t>
            </w:r>
          </w:p>
        </w:tc>
      </w:tr>
      <w:tr>
        <w:tblPrEx>
          <w:tblLook w:val="04A0" w:firstRow="1" w:lastRow="0" w:firstColumn="1" w:lastColumn="0" w:noHBand="0" w:noVBand="1"/>
        </w:tblPrEx>
        <w:trPr>
          <w:trHeight w:val="402"/>
        </w:trPr>
        <w:tc>
          <w:tcPr>
            <w:tcW w:w="9957" w:type="dxa"/>
            <w:gridSpan w:val="10"/>
            <w:tcBorders>
              <w:top w:val="single" w:sz="4" w:space="0" w:color="auto"/>
              <w:left w:val="single" w:sz="4" w:space="0" w:color="auto"/>
              <w:bottom w:val="single" w:sz="4" w:space="0" w:color="auto"/>
              <w:right w:val="nil"/>
            </w:tcBorders>
            <w:shd w:val="clear" w:color="000000" w:fill="D9D9D9"/>
            <w:vAlign w:val="center"/>
            <w:hideMark/>
          </w:tcPr>
          <w:p>
            <w:pPr>
              <w:spacing w:before="0" w:after="0"/>
              <w:jc w:val="left"/>
              <w:rPr>
                <w:rFonts w:cs="Arial"/>
                <w:b/>
                <w:bCs/>
                <w:color w:val="000000"/>
                <w:szCs w:val="22"/>
              </w:rPr>
            </w:pPr>
            <w:r>
              <w:rPr>
                <w:rFonts w:cs="Arial"/>
                <w:b/>
                <w:bCs/>
                <w:color w:val="000000"/>
                <w:szCs w:val="22"/>
              </w:rPr>
              <w:t>Hartes Kernkapital (CET1): Instrumente und Rücklagen</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1</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Kapitalinstrumente und das mit ihnen verbundene Agio</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6.103</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26 (1), 27, 28, 29</w:t>
            </w:r>
          </w:p>
        </w:tc>
      </w:tr>
      <w:tr>
        <w:tblPrEx>
          <w:tblLook w:val="04A0" w:firstRow="1" w:lastRow="0" w:firstColumn="1" w:lastColumn="0" w:noHBand="0" w:noVBand="1"/>
        </w:tblPrEx>
        <w:trPr>
          <w:trHeight w:val="76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davon: Geschäftsguthaben</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6.103</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Verzeichnis der EBA gem. Art. 26 Abs. 3</w:t>
            </w:r>
          </w:p>
        </w:tc>
      </w:tr>
      <w:tr>
        <w:tblPrEx>
          <w:tblLook w:val="04A0" w:firstRow="1" w:lastRow="0" w:firstColumn="1" w:lastColumn="0" w:noHBand="0" w:noVBand="1"/>
        </w:tblPrEx>
        <w:trPr>
          <w:trHeight w:val="76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 </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davon: Art des Finanzinstruments 2</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Verzeichnis der EBA gem. Art. 26 Abs. 3</w:t>
            </w:r>
          </w:p>
        </w:tc>
      </w:tr>
      <w:tr>
        <w:tblPrEx>
          <w:tblLook w:val="04A0" w:firstRow="1" w:lastRow="0" w:firstColumn="1" w:lastColumn="0" w:noHBand="0" w:noVBand="1"/>
        </w:tblPrEx>
        <w:trPr>
          <w:trHeight w:val="76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 </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davon: Art des Finanzinstruments 3</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Verzeichnis der EBA gem. Art. 26 Abs. 3</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Einbehaltene Gewinne</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highlight w:val="red"/>
              </w:rPr>
            </w:pPr>
            <w:r>
              <w:rPr>
                <w:rFonts w:cs="Arial"/>
                <w:color w:val="000000"/>
                <w:sz w:val="20"/>
                <w:szCs w:val="20"/>
              </w:rPr>
              <w:t>24.376</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xml:space="preserve">26 (1) (c) </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3</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xml:space="preserve">Kumuliertes sonstiges Ergebnis (und sonstige Rücklagen) </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highlight w:val="red"/>
              </w:rPr>
            </w:pPr>
            <w:r>
              <w:rPr>
                <w:rFonts w:cs="Arial"/>
                <w:color w:val="000000"/>
                <w:sz w:val="20"/>
                <w:szCs w:val="20"/>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26 (1)</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3a</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Fonds für allgemeine Bankrisiken</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37.500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26 (1) (f)</w:t>
            </w:r>
          </w:p>
        </w:tc>
      </w:tr>
      <w:tr>
        <w:tblPrEx>
          <w:tblLook w:val="04A0" w:firstRow="1" w:lastRow="0" w:firstColumn="1" w:lastColumn="0" w:noHBand="0" w:noVBand="1"/>
        </w:tblPrEx>
        <w:trPr>
          <w:trHeight w:val="76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4</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Betrag der Posten im Sinne von Art. 484 Abs. 3 zuzüglich des mit ihnen verbundenen Agios, dessen Anrechnung auf das CET1 ausläuft</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486 (2)</w:t>
            </w:r>
          </w:p>
        </w:tc>
      </w:tr>
      <w:tr>
        <w:tblPrEx>
          <w:tblLook w:val="04A0" w:firstRow="1" w:lastRow="0" w:firstColumn="1" w:lastColumn="0" w:noHBand="0" w:noVBand="1"/>
        </w:tblPrEx>
        <w:trPr>
          <w:trHeight w:val="5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5</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Minderheitsbeteiligungen (zulässiger Betrag in konsolidiertem CET1)</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84</w:t>
            </w:r>
          </w:p>
        </w:tc>
      </w:tr>
      <w:tr>
        <w:tblPrEx>
          <w:tblLook w:val="04A0" w:firstRow="1" w:lastRow="0" w:firstColumn="1" w:lastColumn="0" w:noHBand="0" w:noVBand="1"/>
        </w:tblPrEx>
        <w:trPr>
          <w:trHeight w:val="5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5a</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von unabhängiger Seite geprüfte Zwischengewinne, abzüglich aller vorhersehbaren Abgaben oder Dividenden</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26 (2)</w:t>
            </w:r>
          </w:p>
        </w:tc>
      </w:tr>
      <w:tr>
        <w:tblPrEx>
          <w:tblLook w:val="04A0" w:firstRow="1" w:lastRow="0" w:firstColumn="1" w:lastColumn="0" w:noHBand="0" w:noVBand="1"/>
        </w:tblPrEx>
        <w:trPr>
          <w:trHeight w:val="5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6</w:t>
            </w:r>
          </w:p>
        </w:tc>
        <w:tc>
          <w:tcPr>
            <w:tcW w:w="5619" w:type="dxa"/>
            <w:gridSpan w:val="4"/>
            <w:tcBorders>
              <w:top w:val="nil"/>
              <w:left w:val="nil"/>
              <w:bottom w:val="single" w:sz="4" w:space="0" w:color="auto"/>
              <w:right w:val="single" w:sz="4" w:space="0" w:color="auto"/>
            </w:tcBorders>
            <w:shd w:val="clear" w:color="000000" w:fill="FFFFFF"/>
            <w:hideMark/>
          </w:tcPr>
          <w:p>
            <w:pPr>
              <w:spacing w:before="0" w:after="0"/>
              <w:jc w:val="left"/>
              <w:rPr>
                <w:rFonts w:cs="Arial"/>
                <w:b/>
                <w:bCs/>
                <w:color w:val="000000"/>
                <w:sz w:val="20"/>
                <w:szCs w:val="20"/>
              </w:rPr>
            </w:pPr>
            <w:r>
              <w:rPr>
                <w:rFonts w:cs="Arial"/>
                <w:b/>
                <w:bCs/>
                <w:color w:val="000000"/>
                <w:sz w:val="20"/>
                <w:szCs w:val="20"/>
              </w:rPr>
              <w:t>Hartes Kernkapital (CET1) vor regulatorischen Anpassungen</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b/>
                <w:bCs/>
                <w:color w:val="000000"/>
                <w:sz w:val="20"/>
                <w:szCs w:val="20"/>
              </w:rPr>
            </w:pPr>
            <w:r>
              <w:rPr>
                <w:rFonts w:cs="Arial"/>
                <w:b/>
                <w:bCs/>
                <w:color w:val="000000"/>
                <w:sz w:val="20"/>
                <w:szCs w:val="20"/>
              </w:rPr>
              <w:t>67.979</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402"/>
        </w:trPr>
        <w:tc>
          <w:tcPr>
            <w:tcW w:w="9957" w:type="dxa"/>
            <w:gridSpan w:val="10"/>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before="0" w:after="0"/>
              <w:jc w:val="left"/>
              <w:rPr>
                <w:rFonts w:cs="Arial"/>
                <w:b/>
                <w:bCs/>
                <w:color w:val="000000"/>
                <w:szCs w:val="22"/>
              </w:rPr>
            </w:pPr>
            <w:r>
              <w:rPr>
                <w:rFonts w:cs="Arial"/>
                <w:b/>
                <w:bCs/>
                <w:color w:val="000000"/>
                <w:szCs w:val="22"/>
              </w:rPr>
              <w:t>Hartes Kernkapital (CET1): regulatorische Anpassungen</w:t>
            </w:r>
          </w:p>
        </w:tc>
      </w:tr>
      <w:tr>
        <w:tblPrEx>
          <w:tblLook w:val="04A0" w:firstRow="1" w:lastRow="0" w:firstColumn="1" w:lastColumn="0" w:noHBand="0" w:noVBand="1"/>
        </w:tblPrEx>
        <w:trPr>
          <w:trHeight w:val="61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7</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Zusätzliche Bewertungsanpassungen (negativer Betrag)</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2</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34, 105</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8</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Immaterielle Vermögenswerte (verringert um entsprechende Steuerschulden) (negativer Betrag)</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58</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(b), 37</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9</w:t>
            </w:r>
          </w:p>
        </w:tc>
        <w:tc>
          <w:tcPr>
            <w:tcW w:w="5619" w:type="dxa"/>
            <w:gridSpan w:val="4"/>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Cs w:val="22"/>
              </w:rPr>
            </w:pPr>
            <w:r>
              <w:rPr>
                <w:rFonts w:cs="Arial"/>
                <w:color w:val="FFFFFF"/>
                <w:szCs w:val="22"/>
              </w:rPr>
              <w:t>In der EU: leeres Feld</w:t>
            </w:r>
          </w:p>
        </w:tc>
        <w:tc>
          <w:tcPr>
            <w:tcW w:w="1894" w:type="dxa"/>
            <w:gridSpan w:val="2"/>
            <w:tcBorders>
              <w:top w:val="nil"/>
              <w:left w:val="nil"/>
              <w:bottom w:val="single" w:sz="4" w:space="0" w:color="auto"/>
              <w:right w:val="single" w:sz="4" w:space="0" w:color="auto"/>
            </w:tcBorders>
            <w:shd w:val="clear" w:color="000000" w:fill="808080"/>
            <w:hideMark/>
          </w:tcPr>
          <w:p>
            <w:pPr>
              <w:spacing w:before="0" w:after="0"/>
              <w:jc w:val="left"/>
              <w:rPr>
                <w:rFonts w:cs="Arial"/>
                <w:color w:val="000000"/>
                <w:sz w:val="20"/>
                <w:szCs w:val="20"/>
              </w:rPr>
            </w:pPr>
            <w:r>
              <w:rPr>
                <w:rFonts w:cs="Arial"/>
                <w:color w:val="000000"/>
                <w:sz w:val="20"/>
                <w:szCs w:val="20"/>
              </w:rPr>
              <w:t> </w:t>
            </w:r>
          </w:p>
        </w:tc>
        <w:tc>
          <w:tcPr>
            <w:tcW w:w="1936" w:type="dxa"/>
            <w:gridSpan w:val="2"/>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 w:val="18"/>
                <w:szCs w:val="18"/>
              </w:rPr>
            </w:pPr>
            <w:r>
              <w:rPr>
                <w:rFonts w:cs="Arial"/>
                <w:color w:val="FFFFFF"/>
                <w:sz w:val="18"/>
                <w:szCs w:val="18"/>
              </w:rPr>
              <w:t> </w:t>
            </w:r>
          </w:p>
        </w:tc>
      </w:tr>
      <w:tr>
        <w:tblPrEx>
          <w:tblLook w:val="04A0" w:firstRow="1" w:lastRow="0" w:firstColumn="1" w:lastColumn="0" w:noHBand="0" w:noVBand="1"/>
        </w:tblPrEx>
        <w:trPr>
          <w:trHeight w:val="142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10</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Von der künftigen Rentabilität abhängige latente Steueransprüche, ausgenommen derjenigen, die aus temporären Differenzen resultieren (verringert um entsprechende Steuerschulden, wenn die Bedingungen von Art. 38 Abs. 3 erfüllt sind) (negativer Betrag)</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(c), 38</w:t>
            </w:r>
          </w:p>
        </w:tc>
      </w:tr>
      <w:tr>
        <w:tblPrEx>
          <w:tblLook w:val="04A0" w:firstRow="1" w:lastRow="0" w:firstColumn="1" w:lastColumn="0" w:noHBand="0" w:noVBand="1"/>
        </w:tblPrEx>
        <w:trPr>
          <w:trHeight w:val="852"/>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11</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Rücklagen aus Gewinnen oder Verlusten aus zeitwertbilanzierten Geschäften zur Absicherung von Zahlungsströmen</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sz w:val="20"/>
                <w:szCs w:val="20"/>
              </w:rPr>
            </w:pPr>
            <w:r>
              <w:rPr>
                <w:rFonts w:cs="Arial"/>
                <w:sz w:val="20"/>
                <w:szCs w:val="20"/>
              </w:rPr>
              <w:t>33 (1) (a)</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12</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Negative Beträge aus der Berechnung der erwarteten Verlustbeträge</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(d), 40, 159</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13</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Anstieg des Eigenkapitals, der sich aus verbrieften Aktiva ergibt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32 (1)</w:t>
            </w:r>
          </w:p>
        </w:tc>
      </w:tr>
      <w:tr>
        <w:tblPrEx>
          <w:tblLook w:val="04A0" w:firstRow="1" w:lastRow="0" w:firstColumn="1" w:lastColumn="0" w:noHBand="0" w:noVBand="1"/>
        </w:tblPrEx>
        <w:trPr>
          <w:trHeight w:val="85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14</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Durch Veränderungen der eigenen Bonität bedingte Gewinne oder Verluste aus zum beizulegenden Zeitwert bewerteten eigenen Verbindlichkeiten</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sz w:val="20"/>
                <w:szCs w:val="20"/>
              </w:rPr>
            </w:pPr>
            <w:r>
              <w:rPr>
                <w:rFonts w:cs="Arial"/>
                <w:sz w:val="20"/>
                <w:szCs w:val="20"/>
              </w:rPr>
              <w:t>33 (1) (b)</w:t>
            </w:r>
          </w:p>
        </w:tc>
      </w:tr>
      <w:tr>
        <w:tblPrEx>
          <w:tblLook w:val="04A0" w:firstRow="1" w:lastRow="0" w:firstColumn="1" w:lastColumn="0" w:noHBand="0" w:noVBand="1"/>
        </w:tblPrEx>
        <w:trPr>
          <w:trHeight w:val="960"/>
        </w:trPr>
        <w:tc>
          <w:tcPr>
            <w:tcW w:w="6127" w:type="dxa"/>
            <w:gridSpan w:val="6"/>
            <w:tcBorders>
              <w:top w:val="single" w:sz="4" w:space="0" w:color="auto"/>
              <w:left w:val="single" w:sz="4" w:space="0" w:color="auto"/>
              <w:bottom w:val="single" w:sz="4" w:space="0" w:color="auto"/>
              <w:right w:val="single" w:sz="4" w:space="0" w:color="000000"/>
            </w:tcBorders>
            <w:shd w:val="clear" w:color="000000" w:fill="00B0F0"/>
            <w:vAlign w:val="center"/>
            <w:hideMark/>
          </w:tcPr>
          <w:p>
            <w:pPr>
              <w:spacing w:before="0" w:after="0"/>
              <w:jc w:val="center"/>
              <w:rPr>
                <w:rFonts w:cs="Arial"/>
                <w:b/>
                <w:bCs/>
                <w:sz w:val="18"/>
                <w:szCs w:val="18"/>
              </w:rPr>
            </w:pPr>
            <w:r>
              <w:rPr>
                <w:rFonts w:cs="Arial"/>
                <w:b/>
                <w:bCs/>
                <w:sz w:val="18"/>
                <w:szCs w:val="18"/>
              </w:rPr>
              <w:lastRenderedPageBreak/>
              <w:t> </w:t>
            </w:r>
          </w:p>
        </w:tc>
        <w:tc>
          <w:tcPr>
            <w:tcW w:w="1894"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Betrag am Tag der Offenlegung*</w:t>
            </w:r>
          </w:p>
        </w:tc>
        <w:tc>
          <w:tcPr>
            <w:tcW w:w="1936"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 xml:space="preserve">Verordnung </w:t>
            </w:r>
            <w:r>
              <w:rPr>
                <w:rFonts w:cs="Arial"/>
                <w:b/>
                <w:bCs/>
                <w:color w:val="FFFFFF"/>
                <w:sz w:val="18"/>
                <w:szCs w:val="18"/>
              </w:rPr>
              <w:br/>
              <w:t>EU (Nr.) 575/2013 Verweis auf Artikel</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15</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Vermögenswerte aus Pensionsfonds mit Leistungszusage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sz w:val="20"/>
                <w:szCs w:val="20"/>
              </w:rPr>
            </w:pPr>
            <w:r>
              <w:rPr>
                <w:rFonts w:cs="Arial"/>
                <w:sz w:val="20"/>
                <w:szCs w:val="20"/>
              </w:rPr>
              <w:t>36 (1) (e), 41</w:t>
            </w:r>
          </w:p>
        </w:tc>
      </w:tr>
      <w:tr>
        <w:tblPrEx>
          <w:tblLook w:val="04A0" w:firstRow="1" w:lastRow="0" w:firstColumn="1" w:lastColumn="0" w:noHBand="0" w:noVBand="1"/>
        </w:tblPrEx>
        <w:trPr>
          <w:trHeight w:val="85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16</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Direkte und indirekte Positionen eines Instituts in eigenen Instrumenten des harten Kernkapitals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sz w:val="20"/>
                <w:szCs w:val="20"/>
              </w:rPr>
            </w:pPr>
            <w:r>
              <w:rPr>
                <w:rFonts w:cs="Arial"/>
                <w:sz w:val="20"/>
                <w:szCs w:val="20"/>
              </w:rPr>
              <w:t>36 (1) (f), 42</w:t>
            </w:r>
          </w:p>
        </w:tc>
      </w:tr>
      <w:tr>
        <w:tblPrEx>
          <w:tblLook w:val="04A0" w:firstRow="1" w:lastRow="0" w:firstColumn="1" w:lastColumn="0" w:noHBand="0" w:noVBand="1"/>
        </w:tblPrEx>
        <w:trPr>
          <w:trHeight w:val="1478"/>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17</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szCs w:val="22"/>
              </w:rPr>
            </w:pPr>
            <w:r>
              <w:rPr>
                <w:rFonts w:cs="Arial"/>
                <w:szCs w:val="22"/>
              </w:rPr>
              <w:t>Direkte und indirekte Positionen des Instituts in Instrumenten des harten Kernkapitals von Unternehmen der Finanzbranche, die eine Überkreuzbeteiligung mit dem Institut eingegangen sind, die dem Ziel dient, dessen Eigenmittel künstlich zu erhöhen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sz w:val="20"/>
                <w:szCs w:val="20"/>
              </w:rPr>
            </w:pPr>
            <w:r>
              <w:rPr>
                <w:rFonts w:cs="Arial"/>
                <w:sz w:val="20"/>
                <w:szCs w:val="20"/>
              </w:rPr>
              <w:t>36 (1) (g), 44</w:t>
            </w:r>
          </w:p>
        </w:tc>
      </w:tr>
      <w:tr>
        <w:tblPrEx>
          <w:tblLook w:val="04A0" w:firstRow="1" w:lastRow="0" w:firstColumn="1" w:lastColumn="0" w:noHBand="0" w:noVBand="1"/>
        </w:tblPrEx>
        <w:trPr>
          <w:trHeight w:val="17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18</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Direkte und indirekte Positionen des Instituts in Instrumenten des harten Kernkapitals von Unternehmen der Finanzbranche, an denen das Institut keine wesentliche Beteiligung hält (mehr als 10 % und abzüglich anrechenbarer Verkaufspositionen)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sz w:val="20"/>
                <w:szCs w:val="20"/>
              </w:rPr>
            </w:pPr>
            <w:r>
              <w:rPr>
                <w:rFonts w:cs="Arial"/>
                <w:sz w:val="20"/>
                <w:szCs w:val="20"/>
              </w:rPr>
              <w:t>36 (1) (h), 43, 45, 46, 49 (2) (3), 79</w:t>
            </w:r>
          </w:p>
        </w:tc>
      </w:tr>
      <w:tr>
        <w:tblPrEx>
          <w:tblLook w:val="04A0" w:firstRow="1" w:lastRow="0" w:firstColumn="1" w:lastColumn="0" w:noHBand="0" w:noVBand="1"/>
        </w:tblPrEx>
        <w:trPr>
          <w:trHeight w:val="17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19</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Direkte, indirekte und synthetische Positionen des Instituts in Instrumenten des harten Kernkapitals von Unternehmen der Finanzbranche, an denen das Institut eine wesentliche Beteiligung hält (mehr als 10 % und abzüglich anrechenbarer Verkaufspositionen)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sz w:val="20"/>
                <w:szCs w:val="20"/>
              </w:rPr>
            </w:pPr>
            <w:r>
              <w:rPr>
                <w:rFonts w:cs="Arial"/>
                <w:sz w:val="20"/>
                <w:szCs w:val="20"/>
              </w:rPr>
              <w:t>36 (1) (i), 43, 45, 47, 48 (1) (b), 49 (1) bis (3), 79</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20</w:t>
            </w:r>
          </w:p>
        </w:tc>
        <w:tc>
          <w:tcPr>
            <w:tcW w:w="5619" w:type="dxa"/>
            <w:gridSpan w:val="4"/>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Cs w:val="22"/>
              </w:rPr>
            </w:pPr>
            <w:r>
              <w:rPr>
                <w:rFonts w:cs="Arial"/>
                <w:color w:val="FFFFFF"/>
                <w:szCs w:val="22"/>
              </w:rPr>
              <w:t>In der EU: leeres Feld</w:t>
            </w:r>
          </w:p>
        </w:tc>
        <w:tc>
          <w:tcPr>
            <w:tcW w:w="1894" w:type="dxa"/>
            <w:gridSpan w:val="2"/>
            <w:tcBorders>
              <w:top w:val="nil"/>
              <w:left w:val="nil"/>
              <w:bottom w:val="single" w:sz="4" w:space="0" w:color="auto"/>
              <w:right w:val="single" w:sz="4" w:space="0" w:color="auto"/>
            </w:tcBorders>
            <w:shd w:val="clear" w:color="000000" w:fill="808080"/>
            <w:hideMark/>
          </w:tcPr>
          <w:p>
            <w:pPr>
              <w:spacing w:before="0" w:after="0"/>
              <w:jc w:val="left"/>
              <w:rPr>
                <w:rFonts w:cs="Arial"/>
                <w:color w:val="000000"/>
                <w:sz w:val="20"/>
                <w:szCs w:val="20"/>
              </w:rPr>
            </w:pPr>
            <w:r>
              <w:rPr>
                <w:rFonts w:cs="Arial"/>
                <w:color w:val="000000"/>
                <w:sz w:val="20"/>
                <w:szCs w:val="20"/>
              </w:rPr>
              <w:t> </w:t>
            </w:r>
          </w:p>
        </w:tc>
        <w:tc>
          <w:tcPr>
            <w:tcW w:w="1936" w:type="dxa"/>
            <w:gridSpan w:val="2"/>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 w:val="18"/>
                <w:szCs w:val="18"/>
              </w:rPr>
            </w:pPr>
            <w:r>
              <w:rPr>
                <w:rFonts w:cs="Arial"/>
                <w:color w:val="FFFFFF"/>
                <w:sz w:val="18"/>
                <w:szCs w:val="18"/>
              </w:rPr>
              <w:t> </w:t>
            </w:r>
          </w:p>
        </w:tc>
      </w:tr>
      <w:tr>
        <w:tblPrEx>
          <w:tblLook w:val="04A0" w:firstRow="1" w:lastRow="0" w:firstColumn="1" w:lastColumn="0" w:noHBand="0" w:noVBand="1"/>
        </w:tblPrEx>
        <w:trPr>
          <w:trHeight w:val="114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20a</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Forderungsbetrag aus folgenden Posten, denen ein Risikogewicht von 1 250 % zuzuordnen ist, wenn das Institut als Alternative jenen Forderungsbetrag vom Betrag der Posten des harten Kernkapitals abzieht</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(k)</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20b</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davon: qualifizierte Beteiligungen außerhalb des Finanzsektors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(k) (i), 89 bis 91</w:t>
            </w:r>
          </w:p>
        </w:tc>
      </w:tr>
      <w:tr>
        <w:tblPrEx>
          <w:tblLook w:val="04A0" w:firstRow="1" w:lastRow="0" w:firstColumn="1" w:lastColumn="0" w:noHBand="0" w:noVBand="1"/>
        </w:tblPrEx>
        <w:trPr>
          <w:trHeight w:val="102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20c</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davon: Verbriefungspositionen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(k) (ii)</w:t>
            </w:r>
            <w:r>
              <w:rPr>
                <w:rFonts w:cs="Arial"/>
                <w:color w:val="000000"/>
                <w:sz w:val="20"/>
                <w:szCs w:val="20"/>
              </w:rPr>
              <w:br/>
              <w:t>243 (1) (b)</w:t>
            </w:r>
            <w:r>
              <w:rPr>
                <w:rFonts w:cs="Arial"/>
                <w:color w:val="000000"/>
                <w:sz w:val="20"/>
                <w:szCs w:val="20"/>
              </w:rPr>
              <w:br/>
              <w:t>244 (1) (b)</w:t>
            </w:r>
            <w:r>
              <w:rPr>
                <w:rFonts w:cs="Arial"/>
                <w:color w:val="000000"/>
                <w:sz w:val="20"/>
                <w:szCs w:val="20"/>
              </w:rPr>
              <w:br/>
              <w:t>258</w:t>
            </w:r>
          </w:p>
        </w:tc>
      </w:tr>
      <w:tr>
        <w:tblPrEx>
          <w:tblLook w:val="04A0" w:firstRow="1" w:lastRow="0" w:firstColumn="1" w:lastColumn="0" w:noHBand="0" w:noVBand="1"/>
        </w:tblPrEx>
        <w:trPr>
          <w:trHeight w:val="5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20d</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davon: Vorleistungen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(k) (iii), 379 (3)</w:t>
            </w:r>
          </w:p>
        </w:tc>
      </w:tr>
      <w:tr>
        <w:tblPrEx>
          <w:tblLook w:val="04A0" w:firstRow="1" w:lastRow="0" w:firstColumn="1" w:lastColumn="0" w:noHBand="0" w:noVBand="1"/>
        </w:tblPrEx>
        <w:trPr>
          <w:trHeight w:val="17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21</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Von der künftigen Rentabilität abhängige latente Steueransprüche, die aus temporären Differenzen resultieren (über dem Schwellenwert von 10 %, verringert um entsprechende Steuerschulden, wenn die Bedingungen von Art. 38 Abs. 3 erfüllt sind)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(c), 38, 48 (1) (a)</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22</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Betrag, der über dem Schwellenwert von 15 % liegt (negativer Betrag)</w:t>
            </w:r>
          </w:p>
          <w:p>
            <w:pPr>
              <w:spacing w:before="0" w:after="0"/>
              <w:jc w:val="left"/>
              <w:rPr>
                <w:rFonts w:cs="Arial"/>
                <w:color w:val="000000"/>
                <w:szCs w:val="22"/>
              </w:rPr>
            </w:pPr>
          </w:p>
          <w:p>
            <w:pPr>
              <w:spacing w:before="0" w:after="0"/>
              <w:jc w:val="left"/>
              <w:rPr>
                <w:rFonts w:cs="Arial"/>
                <w:color w:val="000000"/>
                <w:szCs w:val="22"/>
              </w:rPr>
            </w:pP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48 (1)</w:t>
            </w:r>
          </w:p>
        </w:tc>
      </w:tr>
      <w:tr>
        <w:tblPrEx>
          <w:tblLook w:val="04A0" w:firstRow="1" w:lastRow="0" w:firstColumn="1" w:lastColumn="0" w:noHBand="0" w:noVBand="1"/>
        </w:tblPrEx>
        <w:trPr>
          <w:trHeight w:val="960"/>
        </w:trPr>
        <w:tc>
          <w:tcPr>
            <w:tcW w:w="6127" w:type="dxa"/>
            <w:gridSpan w:val="6"/>
            <w:tcBorders>
              <w:top w:val="single" w:sz="4" w:space="0" w:color="auto"/>
              <w:left w:val="single" w:sz="4" w:space="0" w:color="auto"/>
              <w:bottom w:val="single" w:sz="4" w:space="0" w:color="auto"/>
              <w:right w:val="single" w:sz="4" w:space="0" w:color="000000"/>
            </w:tcBorders>
            <w:shd w:val="clear" w:color="000000" w:fill="00B0F0"/>
            <w:vAlign w:val="center"/>
            <w:hideMark/>
          </w:tcPr>
          <w:p>
            <w:pPr>
              <w:spacing w:before="0" w:after="0"/>
              <w:jc w:val="center"/>
              <w:rPr>
                <w:rFonts w:cs="Arial"/>
                <w:b/>
                <w:bCs/>
                <w:sz w:val="18"/>
                <w:szCs w:val="18"/>
              </w:rPr>
            </w:pPr>
            <w:r>
              <w:rPr>
                <w:rFonts w:cs="Arial"/>
                <w:b/>
                <w:bCs/>
                <w:sz w:val="18"/>
                <w:szCs w:val="18"/>
              </w:rPr>
              <w:lastRenderedPageBreak/>
              <w:t> </w:t>
            </w:r>
          </w:p>
        </w:tc>
        <w:tc>
          <w:tcPr>
            <w:tcW w:w="1894"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Betrag am Tag der Offenlegung*</w:t>
            </w:r>
          </w:p>
        </w:tc>
        <w:tc>
          <w:tcPr>
            <w:tcW w:w="1936"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 xml:space="preserve">Verordnung </w:t>
            </w:r>
            <w:r>
              <w:rPr>
                <w:rFonts w:cs="Arial"/>
                <w:b/>
                <w:bCs/>
                <w:color w:val="FFFFFF"/>
                <w:sz w:val="18"/>
                <w:szCs w:val="18"/>
              </w:rPr>
              <w:br/>
              <w:t>EU (Nr.) 575/2013 Verweis auf Artikel</w:t>
            </w:r>
          </w:p>
        </w:tc>
      </w:tr>
      <w:tr>
        <w:tblPrEx>
          <w:tblLook w:val="04A0" w:firstRow="1" w:lastRow="0" w:firstColumn="1" w:lastColumn="0" w:noHBand="0" w:noVBand="1"/>
        </w:tblPrEx>
        <w:trPr>
          <w:trHeight w:val="114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23</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davon: direkte und indirekte Positionen des Instituts in Instrumenten des harten Kernkapitals von Unternehmen der Finanzbranche, an denen das Institut eine wesentliche Beteiligung hält</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(i), 48 (1) (b)</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24</w:t>
            </w:r>
          </w:p>
        </w:tc>
        <w:tc>
          <w:tcPr>
            <w:tcW w:w="5619" w:type="dxa"/>
            <w:gridSpan w:val="4"/>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Cs w:val="22"/>
              </w:rPr>
            </w:pPr>
            <w:r>
              <w:rPr>
                <w:rFonts w:cs="Arial"/>
                <w:color w:val="FFFFFF"/>
                <w:szCs w:val="22"/>
              </w:rPr>
              <w:t>In der EU: leeres Feld</w:t>
            </w:r>
          </w:p>
        </w:tc>
        <w:tc>
          <w:tcPr>
            <w:tcW w:w="1894" w:type="dxa"/>
            <w:gridSpan w:val="2"/>
            <w:tcBorders>
              <w:top w:val="nil"/>
              <w:left w:val="nil"/>
              <w:bottom w:val="single" w:sz="4" w:space="0" w:color="auto"/>
              <w:right w:val="single" w:sz="4" w:space="0" w:color="auto"/>
            </w:tcBorders>
            <w:shd w:val="clear" w:color="000000" w:fill="808080"/>
            <w:hideMark/>
          </w:tcPr>
          <w:p>
            <w:pPr>
              <w:spacing w:before="0" w:after="0"/>
              <w:ind w:right="255"/>
              <w:jc w:val="left"/>
              <w:rPr>
                <w:rFonts w:cs="Arial"/>
                <w:color w:val="000000"/>
                <w:sz w:val="20"/>
                <w:szCs w:val="20"/>
              </w:rPr>
            </w:pPr>
            <w:r>
              <w:rPr>
                <w:rFonts w:cs="Arial"/>
                <w:color w:val="000000"/>
                <w:sz w:val="20"/>
                <w:szCs w:val="20"/>
              </w:rPr>
              <w:t> </w:t>
            </w:r>
          </w:p>
        </w:tc>
        <w:tc>
          <w:tcPr>
            <w:tcW w:w="1936" w:type="dxa"/>
            <w:gridSpan w:val="2"/>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 w:val="18"/>
                <w:szCs w:val="18"/>
              </w:rPr>
            </w:pPr>
            <w:r>
              <w:rPr>
                <w:rFonts w:cs="Arial"/>
                <w:color w:val="FFFFFF"/>
                <w:sz w:val="18"/>
                <w:szCs w:val="18"/>
              </w:rPr>
              <w:t> </w:t>
            </w:r>
          </w:p>
        </w:tc>
      </w:tr>
      <w:tr>
        <w:tblPrEx>
          <w:tblLook w:val="04A0" w:firstRow="1" w:lastRow="0" w:firstColumn="1" w:lastColumn="0" w:noHBand="0" w:noVBand="1"/>
        </w:tblPrEx>
        <w:trPr>
          <w:trHeight w:val="85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25</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davon: von der künftigen Rentabilität abhängige latente Steueransprüche, die aus temporären Differenzen resultieren</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(c) , 38, 48 (1) (a)</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25a</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Verluste des laufenden Geschäftsjahres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(a)</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25b</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Vorhersehbare steuerliche Belastung auf Posten des harten Kernkapitals (negativer Betrag)</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(l)</w:t>
            </w:r>
          </w:p>
        </w:tc>
      </w:tr>
      <w:tr>
        <w:tblPrEx>
          <w:tblLook w:val="04A0" w:firstRow="1" w:lastRow="0" w:firstColumn="1" w:lastColumn="0" w:noHBand="0" w:noVBand="1"/>
        </w:tblPrEx>
        <w:trPr>
          <w:trHeight w:val="114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27</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Betrag der von den Posten des zusätzlichen Kernkapitals in Abzug zu bringenden Posten, der das zusätzliche Kernkapital des Instituts überschreitet (negativer Betrag)</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(j)</w:t>
            </w:r>
          </w:p>
        </w:tc>
      </w:tr>
      <w:tr>
        <w:tblPrEx>
          <w:tblLook w:val="04A0" w:firstRow="1" w:lastRow="0" w:firstColumn="1" w:lastColumn="0" w:noHBand="0" w:noVBand="1"/>
        </w:tblPrEx>
        <w:trPr>
          <w:trHeight w:val="76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28</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Regulatorische Anpassungen des harten Kernkapitals (CET1) insgesamt</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- 60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p>
        </w:tc>
      </w:tr>
      <w:tr>
        <w:tblPrEx>
          <w:tblLook w:val="04A0" w:firstRow="1" w:lastRow="0" w:firstColumn="1" w:lastColumn="0" w:noHBand="0" w:noVBand="1"/>
        </w:tblPrEx>
        <w:trPr>
          <w:trHeight w:val="30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29</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b/>
                <w:bCs/>
                <w:color w:val="000000"/>
                <w:szCs w:val="22"/>
              </w:rPr>
            </w:pPr>
            <w:r>
              <w:rPr>
                <w:rFonts w:cs="Arial"/>
                <w:b/>
                <w:bCs/>
                <w:color w:val="000000"/>
                <w:szCs w:val="22"/>
              </w:rPr>
              <w:t>Hartes Kernkapital (CET1)</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b/>
                <w:bCs/>
                <w:color w:val="000000"/>
                <w:sz w:val="20"/>
                <w:szCs w:val="20"/>
              </w:rPr>
            </w:pPr>
            <w:r>
              <w:rPr>
                <w:rFonts w:cs="Arial"/>
                <w:b/>
                <w:bCs/>
                <w:color w:val="000000"/>
                <w:sz w:val="20"/>
                <w:szCs w:val="20"/>
              </w:rPr>
              <w:t>67.919</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402"/>
        </w:trPr>
        <w:tc>
          <w:tcPr>
            <w:tcW w:w="9957" w:type="dxa"/>
            <w:gridSpan w:val="10"/>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before="0" w:after="0"/>
              <w:jc w:val="left"/>
              <w:rPr>
                <w:rFonts w:cs="Arial"/>
                <w:b/>
                <w:bCs/>
                <w:color w:val="000000"/>
                <w:szCs w:val="22"/>
              </w:rPr>
            </w:pPr>
            <w:r>
              <w:rPr>
                <w:rFonts w:cs="Arial"/>
                <w:b/>
                <w:bCs/>
                <w:color w:val="000000"/>
                <w:szCs w:val="22"/>
              </w:rPr>
              <w:t>Zusätzliches Kernkapital (AT1): Instrumente</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30</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Kapitalinstrumente und das mit ihnen verbundene Agio</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51, 52</w:t>
            </w:r>
          </w:p>
        </w:tc>
      </w:tr>
      <w:tr>
        <w:tblPrEx>
          <w:tblLook w:val="04A0" w:firstRow="1" w:lastRow="0" w:firstColumn="1" w:lastColumn="0" w:noHBand="0" w:noVBand="1"/>
        </w:tblPrEx>
        <w:trPr>
          <w:trHeight w:val="85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31</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davon: gemäß anwendbaren Rechnungslegungsstandards als Eigenkapital eingestuft</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32</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davon: gemäß anwendbaren Rechnungslegungsstandards als Passiva eingestuft</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85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33</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Betrag der Posten im Sinne von Art. 484 Abs. 4 zuzüglich des mit ihnen verbundenen Agios, dessen Anrechnung auf das AT1 ausläuft</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486 (3)</w:t>
            </w:r>
          </w:p>
        </w:tc>
      </w:tr>
      <w:tr>
        <w:tblPrEx>
          <w:tblLook w:val="04A0" w:firstRow="1" w:lastRow="0" w:firstColumn="1" w:lastColumn="0" w:noHBand="0" w:noVBand="1"/>
        </w:tblPrEx>
        <w:trPr>
          <w:trHeight w:val="142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34</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Zum konsolidierten zusätzlichen Kernkapital zählende Instrumente des qualifizierten Kernkapitals (einschl. nicht in Zeile 5 enthaltener Minderheitsbeteiligungen), die von Tochterunternehmen begeben worden sind und von Drittparteien gehalten werden</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85, 86</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35</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davon: von Tochterunternehmen begebene Instrumente, deren Anrechnung ausläuft</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486 (3)</w:t>
            </w:r>
          </w:p>
        </w:tc>
      </w:tr>
      <w:tr>
        <w:tblPrEx>
          <w:tblLook w:val="04A0" w:firstRow="1" w:lastRow="0" w:firstColumn="1" w:lastColumn="0" w:noHBand="0" w:noVBand="1"/>
        </w:tblPrEx>
        <w:trPr>
          <w:trHeight w:val="589"/>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36</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Zusätzliches Kernkapital (AT1) vor regulatorischen Anpassungen</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402"/>
        </w:trPr>
        <w:tc>
          <w:tcPr>
            <w:tcW w:w="9957" w:type="dxa"/>
            <w:gridSpan w:val="10"/>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before="0" w:after="0"/>
              <w:jc w:val="left"/>
              <w:rPr>
                <w:rFonts w:cs="Arial"/>
                <w:b/>
                <w:bCs/>
                <w:color w:val="000000"/>
                <w:szCs w:val="22"/>
              </w:rPr>
            </w:pPr>
            <w:r>
              <w:rPr>
                <w:rFonts w:cs="Arial"/>
                <w:b/>
                <w:bCs/>
                <w:color w:val="000000"/>
                <w:szCs w:val="22"/>
              </w:rPr>
              <w:t>Zusätzliches Kernkapital (AT1): regulatorische Anpassungen</w:t>
            </w:r>
          </w:p>
        </w:tc>
      </w:tr>
      <w:tr>
        <w:tblPrEx>
          <w:tblLook w:val="04A0" w:firstRow="1" w:lastRow="0" w:firstColumn="1" w:lastColumn="0" w:noHBand="0" w:noVBand="1"/>
        </w:tblPrEx>
        <w:trPr>
          <w:trHeight w:val="85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37</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Direkte und indirekte Positionen eines Instituts in eigenen Instrumenten des zusätzlichen Kernkapitals (negativer Betrag)</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52 (1) (b), 56 (a), 57</w:t>
            </w:r>
          </w:p>
        </w:tc>
      </w:tr>
      <w:tr>
        <w:tblPrEx>
          <w:tblLook w:val="04A0" w:firstRow="1" w:lastRow="0" w:firstColumn="1" w:lastColumn="0" w:noHBand="0" w:noVBand="1"/>
        </w:tblPrEx>
        <w:trPr>
          <w:trHeight w:val="960"/>
        </w:trPr>
        <w:tc>
          <w:tcPr>
            <w:tcW w:w="6127" w:type="dxa"/>
            <w:gridSpan w:val="6"/>
            <w:tcBorders>
              <w:top w:val="single" w:sz="4" w:space="0" w:color="auto"/>
              <w:left w:val="single" w:sz="4" w:space="0" w:color="auto"/>
              <w:bottom w:val="single" w:sz="4" w:space="0" w:color="auto"/>
              <w:right w:val="single" w:sz="4" w:space="0" w:color="000000"/>
            </w:tcBorders>
            <w:shd w:val="clear" w:color="000000" w:fill="00B0F0"/>
            <w:vAlign w:val="center"/>
            <w:hideMark/>
          </w:tcPr>
          <w:p>
            <w:pPr>
              <w:spacing w:before="0" w:after="0"/>
              <w:jc w:val="center"/>
              <w:rPr>
                <w:rFonts w:cs="Arial"/>
                <w:b/>
                <w:bCs/>
                <w:sz w:val="18"/>
                <w:szCs w:val="18"/>
              </w:rPr>
            </w:pPr>
            <w:r>
              <w:rPr>
                <w:rFonts w:cs="Arial"/>
                <w:b/>
                <w:bCs/>
                <w:sz w:val="18"/>
                <w:szCs w:val="18"/>
              </w:rPr>
              <w:lastRenderedPageBreak/>
              <w:t> </w:t>
            </w:r>
          </w:p>
        </w:tc>
        <w:tc>
          <w:tcPr>
            <w:tcW w:w="1894"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Betrag am Tag der Offenlegung*</w:t>
            </w:r>
          </w:p>
        </w:tc>
        <w:tc>
          <w:tcPr>
            <w:tcW w:w="1936"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 xml:space="preserve">Verordnung </w:t>
            </w:r>
            <w:r>
              <w:rPr>
                <w:rFonts w:cs="Arial"/>
                <w:b/>
                <w:bCs/>
                <w:color w:val="FFFFFF"/>
                <w:sz w:val="18"/>
                <w:szCs w:val="18"/>
              </w:rPr>
              <w:br/>
              <w:t>EU (Nr.) 575/2013 Verweis auf Artikel</w:t>
            </w:r>
          </w:p>
        </w:tc>
      </w:tr>
      <w:tr>
        <w:tblPrEx>
          <w:tblLook w:val="04A0" w:firstRow="1" w:lastRow="0" w:firstColumn="1" w:lastColumn="0" w:noHBand="0" w:noVBand="1"/>
        </w:tblPrEx>
        <w:trPr>
          <w:trHeight w:val="144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38</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szCs w:val="22"/>
              </w:rPr>
            </w:pPr>
            <w:r>
              <w:rPr>
                <w:rFonts w:cs="Arial"/>
                <w:szCs w:val="22"/>
              </w:rPr>
              <w:t>Direkte, indirekte und synthetische Positionen des Instituts in Instrumenten des zusätzlichen Kernkapitals von Unternehmen der Finanzbranche, die eine Überkreuzbeteiligung mit dem Institut eingegangen sind, die dem Ziel dient, dessen Eigenmittel künstlich zu erhöhen (negativer Betrag)</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56 (b), 58</w:t>
            </w:r>
          </w:p>
        </w:tc>
      </w:tr>
      <w:tr>
        <w:tblPrEx>
          <w:tblLook w:val="04A0" w:firstRow="1" w:lastRow="0" w:firstColumn="1" w:lastColumn="0" w:noHBand="0" w:noVBand="1"/>
        </w:tblPrEx>
        <w:trPr>
          <w:trHeight w:val="17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39</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szCs w:val="22"/>
              </w:rPr>
            </w:pPr>
            <w:r>
              <w:rPr>
                <w:rFonts w:cs="Arial"/>
                <w:szCs w:val="22"/>
              </w:rPr>
              <w:t>Direkte, indirekte und synthetische Positionen des Instituts in Instrumenten des zusätzlichen Kernkapitals von Unternehmen der Finanzbranche, an denen das Institut keine wesentliche Beteiligung hält (mehr als 10 % und abzüglich anrechenbarer Verkaufspositionen) (negativer Betrag)</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56 (c), 59, 60, 79</w:t>
            </w:r>
          </w:p>
        </w:tc>
      </w:tr>
      <w:tr>
        <w:tblPrEx>
          <w:tblLook w:val="04A0" w:firstRow="1" w:lastRow="0" w:firstColumn="1" w:lastColumn="0" w:noHBand="0" w:noVBand="1"/>
        </w:tblPrEx>
        <w:trPr>
          <w:trHeight w:val="17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40</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szCs w:val="22"/>
              </w:rPr>
            </w:pPr>
            <w:r>
              <w:rPr>
                <w:rFonts w:cs="Arial"/>
                <w:szCs w:val="22"/>
              </w:rPr>
              <w:t>Direkte, indirekte und synthetische Positionen des Instituts in Instrumenten des zusätzlichen Kernkapitals von Unternehmen der Finanzbranche, an denen das Institut eine wesentliche Beteiligung hält (mehr als 10 % und abzüglich anrechenbarer Verkaufspositionen) (negativer Betrag)</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56 (d), 59, 79</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41</w:t>
            </w:r>
          </w:p>
        </w:tc>
        <w:tc>
          <w:tcPr>
            <w:tcW w:w="5619" w:type="dxa"/>
            <w:gridSpan w:val="4"/>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Cs w:val="22"/>
              </w:rPr>
            </w:pPr>
            <w:r>
              <w:rPr>
                <w:rFonts w:cs="Arial"/>
                <w:color w:val="FFFFFF"/>
                <w:szCs w:val="22"/>
              </w:rPr>
              <w:t>In der EU: leeres Feld</w:t>
            </w:r>
          </w:p>
        </w:tc>
        <w:tc>
          <w:tcPr>
            <w:tcW w:w="1894" w:type="dxa"/>
            <w:gridSpan w:val="2"/>
            <w:tcBorders>
              <w:top w:val="nil"/>
              <w:left w:val="nil"/>
              <w:bottom w:val="single" w:sz="4" w:space="0" w:color="auto"/>
              <w:right w:val="single" w:sz="4" w:space="0" w:color="auto"/>
            </w:tcBorders>
            <w:shd w:val="clear" w:color="000000" w:fill="808080"/>
            <w:hideMark/>
          </w:tcPr>
          <w:p>
            <w:pPr>
              <w:spacing w:before="0" w:after="0"/>
              <w:ind w:right="255"/>
              <w:jc w:val="left"/>
              <w:rPr>
                <w:rFonts w:cs="Arial"/>
                <w:color w:val="000000"/>
                <w:sz w:val="20"/>
                <w:szCs w:val="20"/>
              </w:rPr>
            </w:pPr>
            <w:r>
              <w:rPr>
                <w:rFonts w:cs="Arial"/>
                <w:color w:val="000000"/>
                <w:sz w:val="20"/>
                <w:szCs w:val="20"/>
              </w:rPr>
              <w:t> </w:t>
            </w:r>
          </w:p>
        </w:tc>
        <w:tc>
          <w:tcPr>
            <w:tcW w:w="1936" w:type="dxa"/>
            <w:gridSpan w:val="2"/>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 w:val="18"/>
                <w:szCs w:val="18"/>
              </w:rPr>
            </w:pPr>
            <w:r>
              <w:rPr>
                <w:rFonts w:cs="Arial"/>
                <w:color w:val="FFFFFF"/>
                <w:sz w:val="18"/>
                <w:szCs w:val="18"/>
              </w:rPr>
              <w:t> </w:t>
            </w:r>
          </w:p>
        </w:tc>
      </w:tr>
      <w:tr>
        <w:tblPrEx>
          <w:tblLook w:val="04A0" w:firstRow="1" w:lastRow="0" w:firstColumn="1" w:lastColumn="0" w:noHBand="0" w:noVBand="1"/>
        </w:tblPrEx>
        <w:trPr>
          <w:trHeight w:val="114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42</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Betrag der von den Posten des Ergänzungskapitals in Abzug zu bringenden Posten, der das Ergänzungskapital des Instituts überschreitet (negativer Betrag)</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56 (e)</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43</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Regulatorische Anpassungen des zusätzlichen Kernkapitals (AT1) insgesamt</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30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44</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b/>
                <w:bCs/>
                <w:color w:val="000000"/>
                <w:szCs w:val="22"/>
              </w:rPr>
            </w:pPr>
            <w:r>
              <w:rPr>
                <w:rFonts w:cs="Arial"/>
                <w:b/>
                <w:bCs/>
                <w:color w:val="000000"/>
                <w:szCs w:val="22"/>
              </w:rPr>
              <w:t>Zusätzliches Kernkapital (AT1)</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30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45</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b/>
                <w:bCs/>
                <w:color w:val="000000"/>
                <w:szCs w:val="22"/>
              </w:rPr>
            </w:pPr>
            <w:r>
              <w:rPr>
                <w:rFonts w:cs="Arial"/>
                <w:b/>
                <w:bCs/>
                <w:color w:val="000000"/>
                <w:szCs w:val="22"/>
              </w:rPr>
              <w:t>Kernkapital (T1 = CET1 + AT1)</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b/>
                <w:bCs/>
                <w:color w:val="000000"/>
                <w:sz w:val="20"/>
                <w:szCs w:val="20"/>
              </w:rPr>
            </w:pPr>
            <w:r>
              <w:rPr>
                <w:rFonts w:cs="Arial"/>
                <w:b/>
                <w:bCs/>
                <w:color w:val="000000"/>
                <w:sz w:val="20"/>
                <w:szCs w:val="20"/>
              </w:rPr>
              <w:t>67.919</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300"/>
        </w:trPr>
        <w:tc>
          <w:tcPr>
            <w:tcW w:w="9957" w:type="dxa"/>
            <w:gridSpan w:val="10"/>
            <w:tcBorders>
              <w:top w:val="single" w:sz="4" w:space="0" w:color="auto"/>
              <w:left w:val="single" w:sz="4" w:space="0" w:color="auto"/>
              <w:bottom w:val="single" w:sz="4" w:space="0" w:color="auto"/>
              <w:right w:val="single" w:sz="4" w:space="0" w:color="auto"/>
            </w:tcBorders>
            <w:shd w:val="clear" w:color="000000" w:fill="D9D9D9"/>
            <w:hideMark/>
          </w:tcPr>
          <w:p>
            <w:pPr>
              <w:spacing w:before="0" w:after="0"/>
              <w:jc w:val="left"/>
              <w:rPr>
                <w:rFonts w:cs="Arial"/>
                <w:b/>
                <w:bCs/>
                <w:color w:val="000000"/>
                <w:szCs w:val="22"/>
              </w:rPr>
            </w:pPr>
            <w:r>
              <w:rPr>
                <w:rFonts w:cs="Arial"/>
                <w:b/>
                <w:bCs/>
                <w:color w:val="000000"/>
                <w:szCs w:val="22"/>
              </w:rPr>
              <w:t>Ergänzungskapital (T2): Instrumente und Rücklagen</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46</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Kapitalinstrumente und das mit ihnen verbundene Agio</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62, 63</w:t>
            </w:r>
          </w:p>
        </w:tc>
      </w:tr>
      <w:tr>
        <w:tblPrEx>
          <w:tblLook w:val="04A0" w:firstRow="1" w:lastRow="0" w:firstColumn="1" w:lastColumn="0" w:noHBand="0" w:noVBand="1"/>
        </w:tblPrEx>
        <w:trPr>
          <w:trHeight w:val="863"/>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47</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Betrag der Posten im Sinne von Art. 484 Abs. 5 zuzüglich des mit ihnen verbundenen Agios, dessen Anrechnung auf das T2 ausläuft</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2.883</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486 (4)</w:t>
            </w:r>
          </w:p>
        </w:tc>
      </w:tr>
      <w:tr>
        <w:tblPrEx>
          <w:tblLook w:val="04A0" w:firstRow="1" w:lastRow="0" w:firstColumn="1" w:lastColumn="0" w:noHBand="0" w:noVBand="1"/>
        </w:tblPrEx>
        <w:trPr>
          <w:trHeight w:val="17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48</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Zum konsolidierten Ergänzungskapital zählende qualifizierte Eigenmittelinstrumente (einschl. nicht in Zeilen 5 bzw. 34 enthaltener Minderheitsbeteiligungen und AT1-Instrumente), die von Tochterunternehmen begeben worden sind und von Drittparteien gehalten werden</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87, 88</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49</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davon: von Tochterunternehmen begebene Instrumente, deren Anrechnung ausläuft</w:t>
            </w:r>
          </w:p>
          <w:p>
            <w:pPr>
              <w:spacing w:before="0" w:after="0"/>
              <w:jc w:val="left"/>
              <w:rPr>
                <w:rFonts w:cs="Arial"/>
                <w:color w:val="000000"/>
                <w:szCs w:val="22"/>
              </w:rPr>
            </w:pP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486 (4)</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50</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Kreditrisikoanpassungen</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5.213</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62 (c) und (d)</w:t>
            </w:r>
          </w:p>
        </w:tc>
      </w:tr>
      <w:tr>
        <w:tblPrEx>
          <w:tblLook w:val="04A0" w:firstRow="1" w:lastRow="0" w:firstColumn="1" w:lastColumn="0" w:noHBand="0" w:noVBand="1"/>
        </w:tblPrEx>
        <w:trPr>
          <w:trHeight w:val="600"/>
        </w:trPr>
        <w:tc>
          <w:tcPr>
            <w:tcW w:w="508" w:type="dxa"/>
            <w:gridSpan w:val="2"/>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cs="Arial"/>
                <w:color w:val="000000"/>
                <w:szCs w:val="22"/>
              </w:rPr>
            </w:pPr>
            <w:r>
              <w:rPr>
                <w:rFonts w:cs="Arial"/>
                <w:color w:val="000000"/>
                <w:szCs w:val="22"/>
              </w:rPr>
              <w:t>51</w:t>
            </w:r>
          </w:p>
        </w:tc>
        <w:tc>
          <w:tcPr>
            <w:tcW w:w="5619" w:type="dxa"/>
            <w:gridSpan w:val="4"/>
            <w:tcBorders>
              <w:top w:val="nil"/>
              <w:left w:val="nil"/>
              <w:bottom w:val="single" w:sz="4" w:space="0" w:color="auto"/>
              <w:right w:val="single" w:sz="4" w:space="0" w:color="auto"/>
            </w:tcBorders>
            <w:shd w:val="clear" w:color="auto" w:fill="auto"/>
            <w:vAlign w:val="center"/>
            <w:hideMark/>
          </w:tcPr>
          <w:p>
            <w:pPr>
              <w:spacing w:before="0" w:after="0"/>
              <w:jc w:val="left"/>
              <w:rPr>
                <w:rFonts w:cs="Arial"/>
                <w:b/>
                <w:bCs/>
                <w:color w:val="000000"/>
                <w:szCs w:val="22"/>
              </w:rPr>
            </w:pPr>
            <w:r>
              <w:rPr>
                <w:rFonts w:cs="Arial"/>
                <w:b/>
                <w:bCs/>
                <w:color w:val="000000"/>
                <w:szCs w:val="22"/>
              </w:rPr>
              <w:t>Ergänzungskapital (T2) vor regulatorischen Anpassungen</w:t>
            </w:r>
          </w:p>
          <w:p>
            <w:pPr>
              <w:spacing w:before="0" w:after="0"/>
              <w:jc w:val="left"/>
              <w:rPr>
                <w:rFonts w:cs="Arial"/>
                <w:b/>
                <w:bCs/>
                <w:color w:val="000000"/>
                <w:szCs w:val="22"/>
              </w:rPr>
            </w:pPr>
          </w:p>
          <w:p>
            <w:pPr>
              <w:spacing w:before="0" w:after="0"/>
              <w:jc w:val="left"/>
              <w:rPr>
                <w:rFonts w:cs="Arial"/>
                <w:b/>
                <w:bCs/>
                <w:color w:val="000000"/>
                <w:szCs w:val="22"/>
              </w:rPr>
            </w:pP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b/>
                <w:bCs/>
                <w:color w:val="000000"/>
                <w:sz w:val="20"/>
                <w:szCs w:val="20"/>
              </w:rPr>
            </w:pPr>
            <w:r>
              <w:rPr>
                <w:rFonts w:cs="Arial"/>
                <w:b/>
                <w:bCs/>
                <w:color w:val="000000"/>
                <w:sz w:val="20"/>
                <w:szCs w:val="20"/>
              </w:rPr>
              <w:t>8.096</w:t>
            </w:r>
          </w:p>
        </w:tc>
        <w:tc>
          <w:tcPr>
            <w:tcW w:w="1936" w:type="dxa"/>
            <w:gridSpan w:val="2"/>
            <w:tcBorders>
              <w:top w:val="nil"/>
              <w:left w:val="nil"/>
              <w:bottom w:val="single" w:sz="4" w:space="0" w:color="auto"/>
              <w:right w:val="single" w:sz="4" w:space="0" w:color="auto"/>
            </w:tcBorders>
            <w:shd w:val="clear" w:color="auto" w:fill="auto"/>
            <w:vAlign w:val="center"/>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960"/>
        </w:trPr>
        <w:tc>
          <w:tcPr>
            <w:tcW w:w="6127" w:type="dxa"/>
            <w:gridSpan w:val="6"/>
            <w:tcBorders>
              <w:top w:val="single" w:sz="4" w:space="0" w:color="auto"/>
              <w:left w:val="single" w:sz="4" w:space="0" w:color="auto"/>
              <w:bottom w:val="single" w:sz="4" w:space="0" w:color="auto"/>
              <w:right w:val="single" w:sz="4" w:space="0" w:color="000000"/>
            </w:tcBorders>
            <w:shd w:val="clear" w:color="000000" w:fill="00B0F0"/>
            <w:vAlign w:val="center"/>
            <w:hideMark/>
          </w:tcPr>
          <w:p>
            <w:pPr>
              <w:spacing w:before="0" w:after="0"/>
              <w:jc w:val="center"/>
              <w:rPr>
                <w:rFonts w:cs="Arial"/>
                <w:b/>
                <w:bCs/>
                <w:sz w:val="18"/>
                <w:szCs w:val="18"/>
              </w:rPr>
            </w:pPr>
            <w:r>
              <w:rPr>
                <w:rFonts w:cs="Arial"/>
                <w:b/>
                <w:bCs/>
                <w:sz w:val="18"/>
                <w:szCs w:val="18"/>
              </w:rPr>
              <w:lastRenderedPageBreak/>
              <w:t> </w:t>
            </w:r>
          </w:p>
        </w:tc>
        <w:tc>
          <w:tcPr>
            <w:tcW w:w="1894"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Betrag am Tag der Offenlegung*</w:t>
            </w:r>
          </w:p>
        </w:tc>
        <w:tc>
          <w:tcPr>
            <w:tcW w:w="1936"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 xml:space="preserve">Verordnung </w:t>
            </w:r>
            <w:r>
              <w:rPr>
                <w:rFonts w:cs="Arial"/>
                <w:b/>
                <w:bCs/>
                <w:color w:val="FFFFFF"/>
                <w:sz w:val="18"/>
                <w:szCs w:val="18"/>
              </w:rPr>
              <w:br/>
              <w:t>EU (Nr.) 575/2013 Verweis auf Artikel</w:t>
            </w:r>
          </w:p>
        </w:tc>
      </w:tr>
      <w:tr>
        <w:tblPrEx>
          <w:tblLook w:val="04A0" w:firstRow="1" w:lastRow="0" w:firstColumn="1" w:lastColumn="0" w:noHBand="0" w:noVBand="1"/>
        </w:tblPrEx>
        <w:trPr>
          <w:trHeight w:val="402"/>
        </w:trPr>
        <w:tc>
          <w:tcPr>
            <w:tcW w:w="9957" w:type="dxa"/>
            <w:gridSpan w:val="10"/>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before="0" w:after="0"/>
              <w:jc w:val="left"/>
              <w:rPr>
                <w:rFonts w:cs="Arial"/>
                <w:b/>
                <w:bCs/>
                <w:color w:val="000000"/>
                <w:szCs w:val="22"/>
              </w:rPr>
            </w:pPr>
            <w:r>
              <w:rPr>
                <w:rFonts w:cs="Arial"/>
                <w:b/>
                <w:bCs/>
                <w:color w:val="000000"/>
                <w:szCs w:val="22"/>
              </w:rPr>
              <w:t>Ergänzungskapital (T2): regulatorische Anpassungen</w:t>
            </w:r>
          </w:p>
        </w:tc>
      </w:tr>
      <w:tr>
        <w:tblPrEx>
          <w:tblLook w:val="04A0" w:firstRow="1" w:lastRow="0" w:firstColumn="1" w:lastColumn="0" w:noHBand="0" w:noVBand="1"/>
        </w:tblPrEx>
        <w:trPr>
          <w:trHeight w:val="85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52</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Direkte und indirekte Positionen eines Instituts in eigenen Instrumenten des Ergänzungskapitals und nachrangigen Darlehen (negativer Betrag)</w:t>
            </w:r>
          </w:p>
          <w:p>
            <w:pPr>
              <w:spacing w:before="0" w:after="0"/>
              <w:jc w:val="left"/>
              <w:rPr>
                <w:rFonts w:cs="Arial"/>
                <w:color w:val="000000"/>
                <w:szCs w:val="22"/>
              </w:rPr>
            </w:pPr>
          </w:p>
          <w:p>
            <w:pPr>
              <w:spacing w:before="0" w:after="0"/>
              <w:jc w:val="left"/>
              <w:rPr>
                <w:rFonts w:cs="Arial"/>
                <w:color w:val="000000"/>
                <w:szCs w:val="22"/>
              </w:rPr>
            </w:pP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63 (b) (i), 66 (a), 67</w:t>
            </w:r>
          </w:p>
        </w:tc>
      </w:tr>
      <w:tr>
        <w:tblPrEx>
          <w:tblLook w:val="04A0" w:firstRow="1" w:lastRow="0" w:firstColumn="1" w:lastColumn="0" w:noHBand="0" w:noVBand="1"/>
        </w:tblPrEx>
        <w:trPr>
          <w:trHeight w:val="142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53</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Positionen in Instrumenten des Ergänzungskapitals und nachrangigen Darlehen von Unternehmen der Finanzbranche, die eine Überkreuzbeteiligung mit dem Institut eingegangen sind, die dem Ziel dient, dessen Eigenmittel künstlich zu erhöhen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66 (b), 68</w:t>
            </w:r>
          </w:p>
        </w:tc>
      </w:tr>
      <w:tr>
        <w:tblPrEx>
          <w:tblLook w:val="04A0" w:firstRow="1" w:lastRow="0" w:firstColumn="1" w:lastColumn="0" w:noHBand="0" w:noVBand="1"/>
        </w:tblPrEx>
        <w:trPr>
          <w:trHeight w:val="17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54</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Direkte und indirekte Positionen des Instituts in Instrumenten des Ergänzungskapitals und nachrangigen Darlehen von Unternehmen der Finanzbranche, an denen das Institut keine wesentliche Beteiligung hält (mehr als 10% und abzüglich anrechenbarer Verkaufspositionen)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66 (c), 69, 70, 79</w:t>
            </w:r>
          </w:p>
        </w:tc>
      </w:tr>
      <w:tr>
        <w:tblPrEx>
          <w:tblLook w:val="04A0" w:firstRow="1" w:lastRow="0" w:firstColumn="1" w:lastColumn="0" w:noHBand="0" w:noVBand="1"/>
        </w:tblPrEx>
        <w:trPr>
          <w:trHeight w:val="17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55</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Direkte und indirekte Positionen des Instituts in Instrumenten des Ergänzungskapitals und nachrangigen Darlehen von Unternehmen der Finanzbranche, an denen das Institut eine wesentliche Beteiligung hält (abzüglich anrechenbarer Verkaufspositionen) (negativer Betrag)</w:t>
            </w:r>
          </w:p>
        </w:tc>
        <w:tc>
          <w:tcPr>
            <w:tcW w:w="1894" w:type="dxa"/>
            <w:gridSpan w:val="2"/>
            <w:tcBorders>
              <w:top w:val="nil"/>
              <w:left w:val="nil"/>
              <w:bottom w:val="single" w:sz="4" w:space="0" w:color="auto"/>
              <w:right w:val="single" w:sz="4" w:space="0" w:color="auto"/>
            </w:tcBorders>
            <w:shd w:val="clear" w:color="auto" w:fill="auto"/>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66 (d), 69, 79</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56</w:t>
            </w:r>
          </w:p>
        </w:tc>
        <w:tc>
          <w:tcPr>
            <w:tcW w:w="5619" w:type="dxa"/>
            <w:gridSpan w:val="4"/>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Cs w:val="22"/>
              </w:rPr>
            </w:pPr>
            <w:r>
              <w:rPr>
                <w:rFonts w:cs="Arial"/>
                <w:color w:val="FFFFFF"/>
                <w:szCs w:val="22"/>
              </w:rPr>
              <w:t>In der EU: leeres Feld</w:t>
            </w:r>
          </w:p>
        </w:tc>
        <w:tc>
          <w:tcPr>
            <w:tcW w:w="1894" w:type="dxa"/>
            <w:gridSpan w:val="2"/>
            <w:tcBorders>
              <w:top w:val="nil"/>
              <w:left w:val="nil"/>
              <w:bottom w:val="single" w:sz="4" w:space="0" w:color="auto"/>
              <w:right w:val="single" w:sz="4" w:space="0" w:color="auto"/>
            </w:tcBorders>
            <w:shd w:val="clear" w:color="000000" w:fill="808080"/>
            <w:hideMark/>
          </w:tcPr>
          <w:p>
            <w:pPr>
              <w:spacing w:before="0" w:after="0"/>
              <w:ind w:right="255"/>
              <w:jc w:val="left"/>
              <w:rPr>
                <w:rFonts w:cs="Arial"/>
                <w:color w:val="000000"/>
                <w:sz w:val="20"/>
                <w:szCs w:val="20"/>
              </w:rPr>
            </w:pPr>
            <w:r>
              <w:rPr>
                <w:rFonts w:cs="Arial"/>
                <w:color w:val="000000"/>
                <w:sz w:val="20"/>
                <w:szCs w:val="20"/>
              </w:rPr>
              <w:t> </w:t>
            </w:r>
          </w:p>
        </w:tc>
        <w:tc>
          <w:tcPr>
            <w:tcW w:w="1936" w:type="dxa"/>
            <w:gridSpan w:val="2"/>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 w:val="18"/>
                <w:szCs w:val="18"/>
              </w:rPr>
            </w:pPr>
            <w:r>
              <w:rPr>
                <w:rFonts w:cs="Arial"/>
                <w:color w:val="FFFFFF"/>
                <w:sz w:val="18"/>
                <w:szCs w:val="18"/>
              </w:rPr>
              <w:t> </w:t>
            </w:r>
          </w:p>
        </w:tc>
      </w:tr>
      <w:tr>
        <w:tblPrEx>
          <w:tblLook w:val="04A0" w:firstRow="1" w:lastRow="0" w:firstColumn="1" w:lastColumn="0" w:noHBand="0" w:noVBand="1"/>
        </w:tblPrEx>
        <w:trPr>
          <w:trHeight w:val="60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57</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b/>
                <w:bCs/>
                <w:color w:val="000000"/>
                <w:szCs w:val="22"/>
              </w:rPr>
            </w:pPr>
            <w:r>
              <w:rPr>
                <w:rFonts w:cs="Arial"/>
                <w:b/>
                <w:bCs/>
                <w:color w:val="000000"/>
                <w:szCs w:val="22"/>
              </w:rPr>
              <w:t>Regulatorische Anpassungen des Ergänzungskapitals (T2) insgesamt</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b/>
                <w:bCs/>
                <w:color w:val="000000"/>
                <w:sz w:val="20"/>
                <w:szCs w:val="20"/>
              </w:rPr>
            </w:pPr>
            <w:r>
              <w:rPr>
                <w:rFonts w:cs="Arial"/>
                <w:b/>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30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58</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b/>
                <w:bCs/>
                <w:color w:val="000000"/>
                <w:szCs w:val="22"/>
              </w:rPr>
            </w:pPr>
            <w:r>
              <w:rPr>
                <w:rFonts w:cs="Arial"/>
                <w:b/>
                <w:bCs/>
                <w:color w:val="000000"/>
                <w:szCs w:val="22"/>
              </w:rPr>
              <w:t>Ergänzungskapital (T2)</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b/>
                <w:bCs/>
                <w:color w:val="000000"/>
                <w:sz w:val="20"/>
                <w:szCs w:val="20"/>
              </w:rPr>
            </w:pPr>
            <w:r>
              <w:rPr>
                <w:rFonts w:cs="Arial"/>
                <w:b/>
                <w:bCs/>
                <w:color w:val="000000"/>
                <w:sz w:val="20"/>
                <w:szCs w:val="20"/>
              </w:rPr>
              <w:t>8.096</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30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59</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b/>
                <w:bCs/>
                <w:color w:val="000000"/>
                <w:szCs w:val="22"/>
              </w:rPr>
            </w:pPr>
            <w:r>
              <w:rPr>
                <w:rFonts w:cs="Arial"/>
                <w:b/>
                <w:bCs/>
                <w:color w:val="000000"/>
                <w:szCs w:val="22"/>
              </w:rPr>
              <w:t>Eigenkapital insgesamt (TC = T1 + T2)</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b/>
                <w:bCs/>
                <w:color w:val="000000"/>
                <w:sz w:val="20"/>
                <w:szCs w:val="20"/>
              </w:rPr>
            </w:pPr>
            <w:r>
              <w:rPr>
                <w:rFonts w:cs="Arial"/>
                <w:b/>
                <w:bCs/>
                <w:color w:val="000000"/>
                <w:sz w:val="20"/>
                <w:szCs w:val="20"/>
              </w:rPr>
              <w:t>76.017</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30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60</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b/>
                <w:bCs/>
                <w:color w:val="000000"/>
                <w:szCs w:val="22"/>
              </w:rPr>
            </w:pPr>
            <w:r>
              <w:rPr>
                <w:rFonts w:cs="Arial"/>
                <w:b/>
                <w:bCs/>
                <w:color w:val="000000"/>
                <w:szCs w:val="22"/>
              </w:rPr>
              <w:t>Gesamtrisikobetrag</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b/>
                <w:bCs/>
                <w:color w:val="000000"/>
                <w:sz w:val="20"/>
                <w:szCs w:val="20"/>
              </w:rPr>
            </w:pPr>
            <w:r>
              <w:rPr>
                <w:rFonts w:cs="Arial"/>
                <w:b/>
                <w:bCs/>
                <w:color w:val="000000"/>
                <w:sz w:val="20"/>
                <w:szCs w:val="20"/>
              </w:rPr>
              <w:t>451.388</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402"/>
        </w:trPr>
        <w:tc>
          <w:tcPr>
            <w:tcW w:w="9957" w:type="dxa"/>
            <w:gridSpan w:val="10"/>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before="0" w:after="0"/>
              <w:jc w:val="left"/>
              <w:rPr>
                <w:rFonts w:cs="Arial"/>
                <w:b/>
                <w:bCs/>
                <w:color w:val="000000"/>
                <w:szCs w:val="22"/>
              </w:rPr>
            </w:pPr>
            <w:r>
              <w:rPr>
                <w:rFonts w:cs="Arial"/>
                <w:b/>
                <w:bCs/>
                <w:color w:val="000000"/>
                <w:szCs w:val="22"/>
              </w:rPr>
              <w:t>Eigenkapitalquoten und -puffer</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61</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Harte Kernkapitalquote (ausgedrückt als Prozentsatz des Gesamtrisikobetrags)</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15,05</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sz w:val="20"/>
                <w:szCs w:val="20"/>
              </w:rPr>
            </w:pPr>
            <w:r>
              <w:rPr>
                <w:rFonts w:cs="Arial"/>
                <w:sz w:val="20"/>
                <w:szCs w:val="20"/>
              </w:rPr>
              <w:t>92 (2) (a)</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62</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Kernkapitalquote (ausgedrückt als Prozentsatz des Gesamtrisikobetrags)</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15,05</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sz w:val="20"/>
                <w:szCs w:val="20"/>
              </w:rPr>
            </w:pPr>
            <w:r>
              <w:rPr>
                <w:rFonts w:cs="Arial"/>
                <w:sz w:val="20"/>
                <w:szCs w:val="20"/>
              </w:rPr>
              <w:t>92 (2) (b)</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63</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Gesamtkapitalquote (ausgedrückt als Prozentsatz des Gesamtrisikobetrags)</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16,84</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sz w:val="20"/>
                <w:szCs w:val="20"/>
              </w:rPr>
            </w:pPr>
            <w:r>
              <w:rPr>
                <w:rFonts w:cs="Arial"/>
                <w:sz w:val="20"/>
                <w:szCs w:val="20"/>
              </w:rPr>
              <w:t>92 (2) (c)</w:t>
            </w:r>
          </w:p>
        </w:tc>
      </w:tr>
      <w:tr>
        <w:tblPrEx>
          <w:tblLook w:val="04A0" w:firstRow="1" w:lastRow="0" w:firstColumn="1" w:lastColumn="0" w:noHBand="0" w:noVBand="1"/>
        </w:tblPrEx>
        <w:trPr>
          <w:trHeight w:val="199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64</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Institutsspezifische Anforderung an Kapitalpuffer (Mindestanforderung an die harte Kernkapitalquote nach Art. 92 Abs. 1 Buchstabe a, zuzüglich der Anforderungen an Kapitalerhaltungspuffer und antizyklische Kapitalpuffer, Systemrisikopuffer und Puffer für systemrelevante Institute (G-SRI oder A-SRI), ausgedrückt als Prozentsatz des Gesamtrisikobetrags)</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7,009</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sz w:val="20"/>
                <w:szCs w:val="20"/>
              </w:rPr>
            </w:pPr>
            <w:r>
              <w:rPr>
                <w:rFonts w:cs="Arial"/>
                <w:sz w:val="20"/>
                <w:szCs w:val="20"/>
              </w:rPr>
              <w:t>CRD 128, 129, 130, 130, 133</w:t>
            </w:r>
          </w:p>
        </w:tc>
      </w:tr>
      <w:tr>
        <w:tblPrEx>
          <w:tblLook w:val="04A0" w:firstRow="1" w:lastRow="0" w:firstColumn="1" w:lastColumn="0" w:noHBand="0" w:noVBand="1"/>
        </w:tblPrEx>
        <w:trPr>
          <w:trHeight w:val="5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65</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davon: Kapitalerhaltungspuffer</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2,50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960"/>
        </w:trPr>
        <w:tc>
          <w:tcPr>
            <w:tcW w:w="6127" w:type="dxa"/>
            <w:gridSpan w:val="6"/>
            <w:tcBorders>
              <w:top w:val="single" w:sz="4" w:space="0" w:color="auto"/>
              <w:left w:val="single" w:sz="4" w:space="0" w:color="auto"/>
              <w:bottom w:val="single" w:sz="4" w:space="0" w:color="auto"/>
              <w:right w:val="single" w:sz="4" w:space="0" w:color="000000"/>
            </w:tcBorders>
            <w:shd w:val="clear" w:color="000000" w:fill="00B0F0"/>
            <w:vAlign w:val="center"/>
            <w:hideMark/>
          </w:tcPr>
          <w:p>
            <w:pPr>
              <w:spacing w:before="0" w:after="0"/>
              <w:jc w:val="center"/>
              <w:rPr>
                <w:rFonts w:cs="Arial"/>
                <w:b/>
                <w:bCs/>
                <w:sz w:val="18"/>
                <w:szCs w:val="18"/>
              </w:rPr>
            </w:pPr>
            <w:r>
              <w:rPr>
                <w:rFonts w:cs="Arial"/>
                <w:b/>
                <w:bCs/>
                <w:sz w:val="18"/>
                <w:szCs w:val="18"/>
              </w:rPr>
              <w:lastRenderedPageBreak/>
              <w:t> </w:t>
            </w:r>
          </w:p>
        </w:tc>
        <w:tc>
          <w:tcPr>
            <w:tcW w:w="1894"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Betrag am Tag der Offenlegung*</w:t>
            </w:r>
          </w:p>
        </w:tc>
        <w:tc>
          <w:tcPr>
            <w:tcW w:w="1936"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 xml:space="preserve">Verordnung </w:t>
            </w:r>
            <w:r>
              <w:rPr>
                <w:rFonts w:cs="Arial"/>
                <w:b/>
                <w:bCs/>
                <w:color w:val="FFFFFF"/>
                <w:sz w:val="18"/>
                <w:szCs w:val="18"/>
              </w:rPr>
              <w:br/>
              <w:t>EU (Nr.) 575/2013 Verweis auf Artikel</w:t>
            </w:r>
          </w:p>
        </w:tc>
      </w:tr>
      <w:tr>
        <w:tblPrEx>
          <w:tblLook w:val="04A0" w:firstRow="1" w:lastRow="0" w:firstColumn="1" w:lastColumn="0" w:noHBand="0" w:noVBand="1"/>
        </w:tblPrEx>
        <w:trPr>
          <w:trHeight w:val="5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66</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davon: antizyklischer Kapitalpuffer</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0,009</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51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67</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davon: Systemrisikopuffer</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 </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67a</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davon: Puffer für global systemrelevante Institute (G-SRI) oder andere systemrelevante Institute (A-SRI)</w:t>
            </w:r>
          </w:p>
          <w:p>
            <w:pPr>
              <w:spacing w:before="0" w:after="0"/>
              <w:jc w:val="left"/>
              <w:rPr>
                <w:rFonts w:cs="Arial"/>
                <w:color w:val="000000"/>
                <w:szCs w:val="22"/>
              </w:rPr>
            </w:pPr>
          </w:p>
          <w:p>
            <w:pPr>
              <w:spacing w:before="0" w:after="0"/>
              <w:jc w:val="left"/>
              <w:rPr>
                <w:rFonts w:cs="Arial"/>
                <w:color w:val="000000"/>
                <w:szCs w:val="22"/>
              </w:rPr>
            </w:pP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CRD 131</w:t>
            </w:r>
          </w:p>
        </w:tc>
      </w:tr>
      <w:tr>
        <w:tblPrEx>
          <w:tblLook w:val="04A0" w:firstRow="1" w:lastRow="0" w:firstColumn="1" w:lastColumn="0" w:noHBand="0" w:noVBand="1"/>
        </w:tblPrEx>
        <w:trPr>
          <w:trHeight w:val="8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68</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 xml:space="preserve">Verfügbares hartes Kernkapital für die Puffer (ausgedrückt als Prozentsatz des </w:t>
            </w:r>
            <w:r>
              <w:rPr>
                <w:rFonts w:cs="Arial"/>
                <w:szCs w:val="22"/>
              </w:rPr>
              <w:t>Gesamtrisikobetrags</w:t>
            </w:r>
            <w:r>
              <w:rPr>
                <w:rFonts w:cs="Arial"/>
                <w:color w:val="000000"/>
                <w:szCs w:val="22"/>
              </w:rPr>
              <w:t>)</w:t>
            </w:r>
          </w:p>
        </w:tc>
        <w:tc>
          <w:tcPr>
            <w:tcW w:w="1894" w:type="dxa"/>
            <w:gridSpan w:val="2"/>
            <w:tcBorders>
              <w:top w:val="nil"/>
              <w:left w:val="nil"/>
              <w:bottom w:val="single" w:sz="4" w:space="0" w:color="auto"/>
              <w:right w:val="single" w:sz="4" w:space="0" w:color="auto"/>
            </w:tcBorders>
            <w:shd w:val="clear" w:color="auto" w:fill="auto"/>
            <w:hideMark/>
          </w:tcPr>
          <w:p>
            <w:pPr>
              <w:spacing w:before="0" w:after="0"/>
              <w:ind w:right="255"/>
              <w:jc w:val="right"/>
              <w:rPr>
                <w:rFonts w:cs="Arial"/>
                <w:color w:val="000000"/>
                <w:sz w:val="20"/>
                <w:szCs w:val="20"/>
              </w:rPr>
            </w:pPr>
            <w:r>
              <w:rPr>
                <w:rFonts w:cs="Arial"/>
                <w:color w:val="000000"/>
                <w:sz w:val="20"/>
                <w:szCs w:val="20"/>
              </w:rPr>
              <w:t>9,05</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CRD 128</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69</w:t>
            </w:r>
          </w:p>
        </w:tc>
        <w:tc>
          <w:tcPr>
            <w:tcW w:w="5619" w:type="dxa"/>
            <w:gridSpan w:val="4"/>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Cs w:val="22"/>
              </w:rPr>
            </w:pPr>
            <w:r>
              <w:rPr>
                <w:rFonts w:cs="Arial"/>
                <w:color w:val="FFFFFF"/>
                <w:szCs w:val="22"/>
              </w:rPr>
              <w:t>(in EU-Verordnung nicht relevant)</w:t>
            </w:r>
          </w:p>
        </w:tc>
        <w:tc>
          <w:tcPr>
            <w:tcW w:w="1894" w:type="dxa"/>
            <w:gridSpan w:val="2"/>
            <w:tcBorders>
              <w:top w:val="nil"/>
              <w:left w:val="nil"/>
              <w:bottom w:val="single" w:sz="4" w:space="0" w:color="auto"/>
              <w:right w:val="single" w:sz="4" w:space="0" w:color="auto"/>
            </w:tcBorders>
            <w:shd w:val="clear" w:color="000000" w:fill="808080"/>
            <w:hideMark/>
          </w:tcPr>
          <w:p>
            <w:pPr>
              <w:spacing w:before="0" w:after="0"/>
              <w:jc w:val="left"/>
              <w:rPr>
                <w:rFonts w:cs="Arial"/>
                <w:color w:val="000000"/>
                <w:sz w:val="20"/>
                <w:szCs w:val="20"/>
              </w:rPr>
            </w:pPr>
            <w:r>
              <w:rPr>
                <w:rFonts w:cs="Arial"/>
                <w:color w:val="000000"/>
                <w:sz w:val="20"/>
                <w:szCs w:val="20"/>
              </w:rPr>
              <w:t> </w:t>
            </w:r>
          </w:p>
        </w:tc>
        <w:tc>
          <w:tcPr>
            <w:tcW w:w="1936" w:type="dxa"/>
            <w:gridSpan w:val="2"/>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 w:val="18"/>
                <w:szCs w:val="18"/>
              </w:rPr>
            </w:pPr>
            <w:r>
              <w:rPr>
                <w:rFonts w:cs="Arial"/>
                <w:color w:val="FFFFFF"/>
                <w:sz w:val="18"/>
                <w:szCs w:val="18"/>
              </w:rPr>
              <w:t> </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70</w:t>
            </w:r>
          </w:p>
        </w:tc>
        <w:tc>
          <w:tcPr>
            <w:tcW w:w="5619" w:type="dxa"/>
            <w:gridSpan w:val="4"/>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Cs w:val="22"/>
              </w:rPr>
            </w:pPr>
            <w:r>
              <w:rPr>
                <w:rFonts w:cs="Arial"/>
                <w:color w:val="FFFFFF"/>
                <w:szCs w:val="22"/>
              </w:rPr>
              <w:t>(in EU-Verordnung nicht relevant)</w:t>
            </w:r>
          </w:p>
        </w:tc>
        <w:tc>
          <w:tcPr>
            <w:tcW w:w="1894" w:type="dxa"/>
            <w:gridSpan w:val="2"/>
            <w:tcBorders>
              <w:top w:val="nil"/>
              <w:left w:val="nil"/>
              <w:bottom w:val="single" w:sz="4" w:space="0" w:color="auto"/>
              <w:right w:val="single" w:sz="4" w:space="0" w:color="auto"/>
            </w:tcBorders>
            <w:shd w:val="clear" w:color="000000" w:fill="808080"/>
            <w:hideMark/>
          </w:tcPr>
          <w:p>
            <w:pPr>
              <w:spacing w:before="0" w:after="0"/>
              <w:jc w:val="left"/>
              <w:rPr>
                <w:rFonts w:cs="Arial"/>
                <w:color w:val="000000"/>
                <w:sz w:val="20"/>
                <w:szCs w:val="20"/>
              </w:rPr>
            </w:pPr>
            <w:r>
              <w:rPr>
                <w:rFonts w:cs="Arial"/>
                <w:color w:val="000000"/>
                <w:sz w:val="20"/>
                <w:szCs w:val="20"/>
              </w:rPr>
              <w:t> </w:t>
            </w:r>
          </w:p>
        </w:tc>
        <w:tc>
          <w:tcPr>
            <w:tcW w:w="1936" w:type="dxa"/>
            <w:gridSpan w:val="2"/>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 w:val="18"/>
                <w:szCs w:val="18"/>
              </w:rPr>
            </w:pPr>
            <w:r>
              <w:rPr>
                <w:rFonts w:cs="Arial"/>
                <w:color w:val="FFFFFF"/>
                <w:sz w:val="18"/>
                <w:szCs w:val="18"/>
              </w:rPr>
              <w:t> </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71</w:t>
            </w:r>
          </w:p>
        </w:tc>
        <w:tc>
          <w:tcPr>
            <w:tcW w:w="5619" w:type="dxa"/>
            <w:gridSpan w:val="4"/>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Cs w:val="22"/>
              </w:rPr>
            </w:pPr>
            <w:r>
              <w:rPr>
                <w:rFonts w:cs="Arial"/>
                <w:color w:val="FFFFFF"/>
                <w:szCs w:val="22"/>
              </w:rPr>
              <w:t>(in EU-Verordnung nicht relevant)</w:t>
            </w:r>
          </w:p>
        </w:tc>
        <w:tc>
          <w:tcPr>
            <w:tcW w:w="1894" w:type="dxa"/>
            <w:gridSpan w:val="2"/>
            <w:tcBorders>
              <w:top w:val="nil"/>
              <w:left w:val="nil"/>
              <w:bottom w:val="single" w:sz="4" w:space="0" w:color="auto"/>
              <w:right w:val="single" w:sz="4" w:space="0" w:color="auto"/>
            </w:tcBorders>
            <w:shd w:val="clear" w:color="000000" w:fill="808080"/>
            <w:noWrap/>
            <w:hideMark/>
          </w:tcPr>
          <w:p>
            <w:pPr>
              <w:spacing w:before="0" w:after="0"/>
              <w:jc w:val="left"/>
              <w:rPr>
                <w:rFonts w:cs="Arial"/>
                <w:color w:val="000000"/>
                <w:sz w:val="20"/>
                <w:szCs w:val="20"/>
              </w:rPr>
            </w:pPr>
            <w:r>
              <w:rPr>
                <w:rFonts w:cs="Arial"/>
                <w:color w:val="000000"/>
                <w:sz w:val="20"/>
                <w:szCs w:val="20"/>
              </w:rPr>
              <w:t> </w:t>
            </w:r>
          </w:p>
        </w:tc>
        <w:tc>
          <w:tcPr>
            <w:tcW w:w="1936" w:type="dxa"/>
            <w:gridSpan w:val="2"/>
            <w:tcBorders>
              <w:top w:val="nil"/>
              <w:left w:val="nil"/>
              <w:bottom w:val="single" w:sz="4" w:space="0" w:color="auto"/>
              <w:right w:val="single" w:sz="4" w:space="0" w:color="auto"/>
            </w:tcBorders>
            <w:shd w:val="clear" w:color="000000" w:fill="808080"/>
            <w:noWrap/>
            <w:hideMark/>
          </w:tcPr>
          <w:p>
            <w:pPr>
              <w:spacing w:before="0" w:after="0"/>
              <w:jc w:val="left"/>
              <w:rPr>
                <w:rFonts w:cs="Arial"/>
                <w:color w:val="FFFFFF"/>
                <w:sz w:val="18"/>
                <w:szCs w:val="18"/>
              </w:rPr>
            </w:pPr>
            <w:r>
              <w:rPr>
                <w:rFonts w:cs="Arial"/>
                <w:color w:val="FFFFFF"/>
                <w:sz w:val="18"/>
                <w:szCs w:val="18"/>
              </w:rPr>
              <w:t> </w:t>
            </w:r>
          </w:p>
        </w:tc>
      </w:tr>
      <w:tr>
        <w:tblPrEx>
          <w:tblLook w:val="04A0" w:firstRow="1" w:lastRow="0" w:firstColumn="1" w:lastColumn="0" w:noHBand="0" w:noVBand="1"/>
        </w:tblPrEx>
        <w:trPr>
          <w:trHeight w:val="402"/>
        </w:trPr>
        <w:tc>
          <w:tcPr>
            <w:tcW w:w="9957" w:type="dxa"/>
            <w:gridSpan w:val="10"/>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before="0" w:after="0"/>
              <w:jc w:val="left"/>
              <w:rPr>
                <w:rFonts w:cs="Arial"/>
                <w:b/>
                <w:bCs/>
                <w:szCs w:val="22"/>
              </w:rPr>
            </w:pPr>
            <w:r>
              <w:rPr>
                <w:rFonts w:cs="Arial"/>
                <w:b/>
                <w:bCs/>
                <w:szCs w:val="22"/>
              </w:rPr>
              <w:t>Beträge unter den Schwellenwerten für Abzüge (vor Risikogewichtung)</w:t>
            </w:r>
          </w:p>
        </w:tc>
      </w:tr>
      <w:tr>
        <w:tblPrEx>
          <w:tblLook w:val="04A0" w:firstRow="1" w:lastRow="0" w:firstColumn="1" w:lastColumn="0" w:noHBand="0" w:noVBand="1"/>
        </w:tblPrEx>
        <w:trPr>
          <w:trHeight w:val="142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72</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Direkte und indirekte Positionen des Instituts in Kapitalinstrumenten von Unternehmen der Finanzbranche, an denen das Institut keine wesentliche Beteiligung hält (weniger als 10% und abzüglich anrechenbarer Verkaufspositionen)</w:t>
            </w:r>
          </w:p>
        </w:tc>
        <w:tc>
          <w:tcPr>
            <w:tcW w:w="1894" w:type="dxa"/>
            <w:gridSpan w:val="2"/>
            <w:tcBorders>
              <w:top w:val="nil"/>
              <w:left w:val="nil"/>
              <w:bottom w:val="single" w:sz="4" w:space="0" w:color="auto"/>
              <w:right w:val="single" w:sz="4" w:space="0" w:color="auto"/>
            </w:tcBorders>
            <w:shd w:val="clear" w:color="auto" w:fill="auto"/>
            <w:noWrap/>
            <w:hideMark/>
          </w:tcPr>
          <w:p>
            <w:pPr>
              <w:spacing w:before="0" w:after="0"/>
              <w:ind w:right="255"/>
              <w:jc w:val="right"/>
              <w:rPr>
                <w:rFonts w:cs="Arial"/>
                <w:color w:val="000000"/>
                <w:sz w:val="20"/>
                <w:szCs w:val="20"/>
              </w:rPr>
            </w:pPr>
            <w:r>
              <w:rPr>
                <w:rFonts w:cs="Arial"/>
                <w:color w:val="000000"/>
                <w:sz w:val="20"/>
                <w:szCs w:val="20"/>
              </w:rPr>
              <w:t>1.230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(h), 45, 46, 56 (c), 59, 60, 66 (c), 69, 70</w:t>
            </w:r>
          </w:p>
        </w:tc>
      </w:tr>
      <w:tr>
        <w:tblPrEx>
          <w:tblLook w:val="04A0" w:firstRow="1" w:lastRow="0" w:firstColumn="1" w:lastColumn="0" w:noHBand="0" w:noVBand="1"/>
        </w:tblPrEx>
        <w:trPr>
          <w:trHeight w:val="142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73</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Direkte und indirekte Positionen des Instituts in Instrumenten des harten Kernkapitals von Unternehmen der Finanzbranche, an denen das Institut eine wesentliche Beteiligung hält (mehr als 10% und abzüglich anrechenbarer Verkaufspositionen)</w:t>
            </w:r>
          </w:p>
        </w:tc>
        <w:tc>
          <w:tcPr>
            <w:tcW w:w="1894" w:type="dxa"/>
            <w:gridSpan w:val="2"/>
            <w:tcBorders>
              <w:top w:val="nil"/>
              <w:left w:val="nil"/>
              <w:bottom w:val="single" w:sz="4" w:space="0" w:color="auto"/>
              <w:right w:val="single" w:sz="4" w:space="0" w:color="auto"/>
            </w:tcBorders>
            <w:shd w:val="clear" w:color="auto" w:fill="auto"/>
            <w:noWrap/>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(i), 45, 48</w:t>
            </w:r>
          </w:p>
        </w:tc>
      </w:tr>
      <w:tr>
        <w:tblPrEx>
          <w:tblLook w:val="04A0" w:firstRow="1" w:lastRow="0" w:firstColumn="1" w:lastColumn="0" w:noHBand="0" w:noVBand="1"/>
        </w:tblPrEx>
        <w:trPr>
          <w:trHeight w:val="28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74</w:t>
            </w:r>
          </w:p>
        </w:tc>
        <w:tc>
          <w:tcPr>
            <w:tcW w:w="5619" w:type="dxa"/>
            <w:gridSpan w:val="4"/>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Cs w:val="22"/>
              </w:rPr>
            </w:pPr>
            <w:r>
              <w:rPr>
                <w:rFonts w:cs="Arial"/>
                <w:color w:val="FFFFFF"/>
                <w:szCs w:val="22"/>
              </w:rPr>
              <w:t>In der EU: leeres Feld</w:t>
            </w:r>
          </w:p>
        </w:tc>
        <w:tc>
          <w:tcPr>
            <w:tcW w:w="1894" w:type="dxa"/>
            <w:gridSpan w:val="2"/>
            <w:tcBorders>
              <w:top w:val="nil"/>
              <w:left w:val="nil"/>
              <w:bottom w:val="single" w:sz="4" w:space="0" w:color="auto"/>
              <w:right w:val="single" w:sz="4" w:space="0" w:color="auto"/>
            </w:tcBorders>
            <w:shd w:val="clear" w:color="000000" w:fill="808080"/>
            <w:noWrap/>
            <w:hideMark/>
          </w:tcPr>
          <w:p>
            <w:pPr>
              <w:spacing w:before="0" w:after="0"/>
              <w:ind w:right="255"/>
              <w:jc w:val="left"/>
              <w:rPr>
                <w:rFonts w:cs="Arial"/>
                <w:color w:val="000000"/>
                <w:sz w:val="20"/>
                <w:szCs w:val="20"/>
              </w:rPr>
            </w:pPr>
            <w:r>
              <w:rPr>
                <w:rFonts w:cs="Arial"/>
                <w:color w:val="000000"/>
                <w:sz w:val="20"/>
                <w:szCs w:val="20"/>
              </w:rPr>
              <w:t> </w:t>
            </w:r>
          </w:p>
        </w:tc>
        <w:tc>
          <w:tcPr>
            <w:tcW w:w="1936" w:type="dxa"/>
            <w:gridSpan w:val="2"/>
            <w:tcBorders>
              <w:top w:val="nil"/>
              <w:left w:val="nil"/>
              <w:bottom w:val="single" w:sz="4" w:space="0" w:color="auto"/>
              <w:right w:val="single" w:sz="4" w:space="0" w:color="auto"/>
            </w:tcBorders>
            <w:shd w:val="clear" w:color="000000" w:fill="808080"/>
            <w:hideMark/>
          </w:tcPr>
          <w:p>
            <w:pPr>
              <w:spacing w:before="0" w:after="0"/>
              <w:jc w:val="left"/>
              <w:rPr>
                <w:rFonts w:cs="Arial"/>
                <w:color w:val="FFFFFF"/>
                <w:sz w:val="20"/>
                <w:szCs w:val="20"/>
              </w:rPr>
            </w:pPr>
            <w:r>
              <w:rPr>
                <w:rFonts w:cs="Arial"/>
                <w:color w:val="FFFFFF"/>
                <w:sz w:val="20"/>
                <w:szCs w:val="20"/>
              </w:rPr>
              <w:t> </w:t>
            </w:r>
          </w:p>
        </w:tc>
      </w:tr>
      <w:tr>
        <w:tblPrEx>
          <w:tblLook w:val="04A0" w:firstRow="1" w:lastRow="0" w:firstColumn="1" w:lastColumn="0" w:noHBand="0" w:noVBand="1"/>
        </w:tblPrEx>
        <w:trPr>
          <w:trHeight w:val="142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75</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Von der künftigen Rentabilität abhängige latente Steueransprüche, die aus temporären Differenzen resultieren (unter dem Schwellenwert von 10 %, verringert um entsprechende Steuerschulden, wenn die Bedingungen von Art. 38 Abs. 3 erfüllt sind)</w:t>
            </w:r>
          </w:p>
        </w:tc>
        <w:tc>
          <w:tcPr>
            <w:tcW w:w="1894" w:type="dxa"/>
            <w:gridSpan w:val="2"/>
            <w:tcBorders>
              <w:top w:val="nil"/>
              <w:left w:val="nil"/>
              <w:bottom w:val="single" w:sz="4" w:space="0" w:color="auto"/>
              <w:right w:val="single" w:sz="4" w:space="0" w:color="auto"/>
            </w:tcBorders>
            <w:shd w:val="clear" w:color="auto" w:fill="auto"/>
            <w:noWrap/>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36 (1) (c), 38, 48</w:t>
            </w:r>
          </w:p>
        </w:tc>
      </w:tr>
      <w:tr>
        <w:tblPrEx>
          <w:tblLook w:val="04A0" w:firstRow="1" w:lastRow="0" w:firstColumn="1" w:lastColumn="0" w:noHBand="0" w:noVBand="1"/>
        </w:tblPrEx>
        <w:trPr>
          <w:trHeight w:val="630"/>
        </w:trPr>
        <w:tc>
          <w:tcPr>
            <w:tcW w:w="9957" w:type="dxa"/>
            <w:gridSpan w:val="10"/>
            <w:tcBorders>
              <w:top w:val="single" w:sz="4" w:space="0" w:color="auto"/>
              <w:left w:val="single" w:sz="4" w:space="0" w:color="auto"/>
              <w:bottom w:val="single" w:sz="4" w:space="0" w:color="auto"/>
              <w:right w:val="single" w:sz="4" w:space="0" w:color="auto"/>
            </w:tcBorders>
            <w:shd w:val="clear" w:color="000000" w:fill="BFBFBF"/>
            <w:vAlign w:val="center"/>
            <w:hideMark/>
          </w:tcPr>
          <w:p>
            <w:pPr>
              <w:spacing w:before="0" w:after="0"/>
              <w:jc w:val="left"/>
              <w:rPr>
                <w:rFonts w:cs="Arial"/>
                <w:b/>
                <w:bCs/>
                <w:color w:val="000000"/>
                <w:szCs w:val="22"/>
              </w:rPr>
            </w:pPr>
            <w:r>
              <w:rPr>
                <w:rFonts w:cs="Arial"/>
                <w:b/>
                <w:bCs/>
                <w:color w:val="000000"/>
                <w:szCs w:val="22"/>
              </w:rPr>
              <w:t>Anwendbare Obergrenzen für die Einbeziehung von Wertberichtigungen in das Ergänzungskapital</w:t>
            </w:r>
          </w:p>
        </w:tc>
      </w:tr>
      <w:tr>
        <w:tblPrEx>
          <w:tblLook w:val="04A0" w:firstRow="1" w:lastRow="0" w:firstColumn="1" w:lastColumn="0" w:noHBand="0" w:noVBand="1"/>
        </w:tblPrEx>
        <w:trPr>
          <w:trHeight w:val="114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76</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Auf das Ergänzungskapital anrechenbare Kreditrisikoanpassungen in Bezug auf Forderungen, für die der Standardansatz gilt (vor Anwendung der Obergrenze)</w:t>
            </w:r>
          </w:p>
        </w:tc>
        <w:tc>
          <w:tcPr>
            <w:tcW w:w="1894" w:type="dxa"/>
            <w:gridSpan w:val="2"/>
            <w:tcBorders>
              <w:top w:val="nil"/>
              <w:left w:val="nil"/>
              <w:bottom w:val="single" w:sz="4" w:space="0" w:color="auto"/>
              <w:right w:val="single" w:sz="4" w:space="0" w:color="auto"/>
            </w:tcBorders>
            <w:shd w:val="clear" w:color="auto" w:fill="auto"/>
            <w:noWrap/>
            <w:hideMark/>
          </w:tcPr>
          <w:p>
            <w:pPr>
              <w:spacing w:before="0" w:after="0"/>
              <w:ind w:right="255"/>
              <w:jc w:val="right"/>
              <w:rPr>
                <w:rFonts w:cs="Arial"/>
                <w:color w:val="000000"/>
                <w:sz w:val="20"/>
                <w:szCs w:val="20"/>
              </w:rPr>
            </w:pPr>
            <w:r>
              <w:rPr>
                <w:rFonts w:cs="Arial"/>
                <w:color w:val="000000"/>
                <w:sz w:val="20"/>
                <w:szCs w:val="20"/>
              </w:rPr>
              <w:t>5.213</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62</w:t>
            </w:r>
          </w:p>
        </w:tc>
      </w:tr>
      <w:tr>
        <w:tblPrEx>
          <w:tblLook w:val="04A0" w:firstRow="1" w:lastRow="0" w:firstColumn="1" w:lastColumn="0" w:noHBand="0" w:noVBand="1"/>
        </w:tblPrEx>
        <w:trPr>
          <w:trHeight w:val="85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77</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Obergrenze für die Anrechnung von Kreditrisikoanpassungen auf das Ergänzungskapital im Rahmen des Standardansatzes</w:t>
            </w:r>
          </w:p>
        </w:tc>
        <w:tc>
          <w:tcPr>
            <w:tcW w:w="1894" w:type="dxa"/>
            <w:gridSpan w:val="2"/>
            <w:tcBorders>
              <w:top w:val="nil"/>
              <w:left w:val="nil"/>
              <w:bottom w:val="single" w:sz="4" w:space="0" w:color="auto"/>
              <w:right w:val="single" w:sz="4" w:space="0" w:color="auto"/>
            </w:tcBorders>
            <w:shd w:val="clear" w:color="auto" w:fill="auto"/>
            <w:noWrap/>
            <w:hideMark/>
          </w:tcPr>
          <w:p>
            <w:pPr>
              <w:spacing w:before="0" w:after="0"/>
              <w:ind w:right="255"/>
              <w:jc w:val="right"/>
              <w:rPr>
                <w:rFonts w:cs="Arial"/>
                <w:color w:val="000000"/>
                <w:sz w:val="20"/>
                <w:szCs w:val="20"/>
              </w:rPr>
            </w:pPr>
            <w:r>
              <w:rPr>
                <w:rFonts w:cs="Arial"/>
                <w:color w:val="000000"/>
                <w:sz w:val="20"/>
                <w:szCs w:val="20"/>
              </w:rPr>
              <w:t>5.213</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62</w:t>
            </w:r>
          </w:p>
        </w:tc>
      </w:tr>
      <w:tr>
        <w:tblPrEx>
          <w:tblLook w:val="04A0" w:firstRow="1" w:lastRow="0" w:firstColumn="1" w:lastColumn="0" w:noHBand="0" w:noVBand="1"/>
        </w:tblPrEx>
        <w:trPr>
          <w:trHeight w:val="114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78</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Auf das Ergänzungskapital anrechenbare Kreditrisikoanpassungen in Bezug auf Forderungen, für die der auf Internen Beurteilungen basierende Ansatz gilt (vor Anwendung der Obergrenze)</w:t>
            </w:r>
          </w:p>
        </w:tc>
        <w:tc>
          <w:tcPr>
            <w:tcW w:w="1894" w:type="dxa"/>
            <w:gridSpan w:val="2"/>
            <w:tcBorders>
              <w:top w:val="nil"/>
              <w:left w:val="nil"/>
              <w:bottom w:val="single" w:sz="4" w:space="0" w:color="auto"/>
              <w:right w:val="single" w:sz="4" w:space="0" w:color="auto"/>
            </w:tcBorders>
            <w:shd w:val="clear" w:color="auto" w:fill="auto"/>
            <w:noWrap/>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62</w:t>
            </w:r>
          </w:p>
        </w:tc>
      </w:tr>
      <w:tr>
        <w:tblPrEx>
          <w:tblLook w:val="04A0" w:firstRow="1" w:lastRow="0" w:firstColumn="1" w:lastColumn="0" w:noHBand="0" w:noVBand="1"/>
        </w:tblPrEx>
        <w:trPr>
          <w:trHeight w:val="960"/>
        </w:trPr>
        <w:tc>
          <w:tcPr>
            <w:tcW w:w="6127" w:type="dxa"/>
            <w:gridSpan w:val="6"/>
            <w:tcBorders>
              <w:top w:val="single" w:sz="4" w:space="0" w:color="auto"/>
              <w:left w:val="single" w:sz="4" w:space="0" w:color="auto"/>
              <w:bottom w:val="single" w:sz="4" w:space="0" w:color="auto"/>
              <w:right w:val="single" w:sz="4" w:space="0" w:color="000000"/>
            </w:tcBorders>
            <w:shd w:val="clear" w:color="000000" w:fill="00B0F0"/>
            <w:vAlign w:val="center"/>
            <w:hideMark/>
          </w:tcPr>
          <w:p>
            <w:pPr>
              <w:spacing w:before="0" w:after="0"/>
              <w:jc w:val="center"/>
              <w:rPr>
                <w:rFonts w:cs="Arial"/>
                <w:b/>
                <w:bCs/>
                <w:sz w:val="18"/>
                <w:szCs w:val="18"/>
              </w:rPr>
            </w:pPr>
            <w:r>
              <w:rPr>
                <w:rFonts w:cs="Arial"/>
                <w:b/>
                <w:bCs/>
                <w:sz w:val="18"/>
                <w:szCs w:val="18"/>
              </w:rPr>
              <w:lastRenderedPageBreak/>
              <w:t> </w:t>
            </w:r>
          </w:p>
        </w:tc>
        <w:tc>
          <w:tcPr>
            <w:tcW w:w="1894"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Betrag am Tag der Offenlegung*</w:t>
            </w:r>
          </w:p>
        </w:tc>
        <w:tc>
          <w:tcPr>
            <w:tcW w:w="1936" w:type="dxa"/>
            <w:gridSpan w:val="2"/>
            <w:tcBorders>
              <w:top w:val="single" w:sz="4" w:space="0" w:color="auto"/>
              <w:left w:val="nil"/>
              <w:bottom w:val="single" w:sz="4" w:space="0" w:color="auto"/>
              <w:right w:val="single" w:sz="4" w:space="0" w:color="auto"/>
            </w:tcBorders>
            <w:shd w:val="clear" w:color="000000" w:fill="00B0F0"/>
            <w:vAlign w:val="center"/>
            <w:hideMark/>
          </w:tcPr>
          <w:p>
            <w:pPr>
              <w:spacing w:before="0" w:after="0"/>
              <w:jc w:val="center"/>
              <w:rPr>
                <w:rFonts w:cs="Arial"/>
                <w:b/>
                <w:bCs/>
                <w:color w:val="FFFFFF"/>
                <w:sz w:val="18"/>
                <w:szCs w:val="18"/>
              </w:rPr>
            </w:pPr>
            <w:r>
              <w:rPr>
                <w:rFonts w:cs="Arial"/>
                <w:b/>
                <w:bCs/>
                <w:color w:val="FFFFFF"/>
                <w:sz w:val="18"/>
                <w:szCs w:val="18"/>
              </w:rPr>
              <w:t xml:space="preserve">Verordnung </w:t>
            </w:r>
            <w:r>
              <w:rPr>
                <w:rFonts w:cs="Arial"/>
                <w:b/>
                <w:bCs/>
                <w:color w:val="FFFFFF"/>
                <w:sz w:val="18"/>
                <w:szCs w:val="18"/>
              </w:rPr>
              <w:br/>
              <w:t>EU (Nr.) 575/2013 Verweis auf Artikel</w:t>
            </w:r>
          </w:p>
        </w:tc>
      </w:tr>
      <w:tr>
        <w:tblPrEx>
          <w:tblLook w:val="04A0" w:firstRow="1" w:lastRow="0" w:firstColumn="1" w:lastColumn="0" w:noHBand="0" w:noVBand="1"/>
        </w:tblPrEx>
        <w:trPr>
          <w:trHeight w:val="114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79</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Obergrenze für die Anrechnung von Kreditrisikoanpassungen auf das Ergänzungskapital im Rahmen des auf internen Beurteilungen basierenden Ansatzes</w:t>
            </w:r>
          </w:p>
        </w:tc>
        <w:tc>
          <w:tcPr>
            <w:tcW w:w="1894" w:type="dxa"/>
            <w:gridSpan w:val="2"/>
            <w:tcBorders>
              <w:top w:val="nil"/>
              <w:left w:val="nil"/>
              <w:bottom w:val="single" w:sz="4" w:space="0" w:color="auto"/>
              <w:right w:val="single" w:sz="4" w:space="0" w:color="auto"/>
            </w:tcBorders>
            <w:shd w:val="clear" w:color="auto" w:fill="auto"/>
            <w:noWrap/>
            <w:hideMark/>
          </w:tcPr>
          <w:p>
            <w:pPr>
              <w:spacing w:before="0" w:after="0"/>
              <w:ind w:right="255"/>
              <w:jc w:val="right"/>
              <w:rPr>
                <w:rFonts w:cs="Arial"/>
                <w:color w:val="000000"/>
                <w:sz w:val="20"/>
                <w:szCs w:val="20"/>
              </w:rPr>
            </w:pPr>
            <w:r>
              <w:rPr>
                <w:rFonts w:cs="Arial"/>
                <w:color w:val="000000"/>
                <w:sz w:val="20"/>
                <w:szCs w:val="20"/>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62</w:t>
            </w:r>
          </w:p>
        </w:tc>
      </w:tr>
      <w:tr>
        <w:tblPrEx>
          <w:tblLook w:val="04A0" w:firstRow="1" w:lastRow="0" w:firstColumn="1" w:lastColumn="0" w:noHBand="0" w:noVBand="1"/>
        </w:tblPrEx>
        <w:trPr>
          <w:trHeight w:val="630"/>
        </w:trPr>
        <w:tc>
          <w:tcPr>
            <w:tcW w:w="9957" w:type="dxa"/>
            <w:gridSpan w:val="10"/>
            <w:tcBorders>
              <w:top w:val="single" w:sz="4" w:space="0" w:color="auto"/>
              <w:left w:val="single" w:sz="4" w:space="0" w:color="auto"/>
              <w:bottom w:val="single" w:sz="4" w:space="0" w:color="auto"/>
              <w:right w:val="single" w:sz="4" w:space="0" w:color="auto"/>
            </w:tcBorders>
            <w:shd w:val="clear" w:color="000000" w:fill="D9D9D9"/>
            <w:hideMark/>
          </w:tcPr>
          <w:p>
            <w:pPr>
              <w:spacing w:before="0" w:after="0"/>
              <w:jc w:val="left"/>
              <w:rPr>
                <w:rFonts w:cs="Arial"/>
                <w:b/>
                <w:bCs/>
                <w:color w:val="000000"/>
                <w:szCs w:val="22"/>
              </w:rPr>
            </w:pPr>
            <w:r>
              <w:rPr>
                <w:rFonts w:cs="Arial"/>
                <w:b/>
                <w:bCs/>
                <w:color w:val="000000"/>
                <w:szCs w:val="22"/>
              </w:rPr>
              <w:t>Eigenkapitalinstrumente, für die die Auslaufregelungen gelten (anwendbar nur vom 1. Januar 2013 bis 1. Januar 2022)</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80</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Derzeitige Obergrenze für CET1-Instrumente, für die die Auslaufregelungen gelten</w:t>
            </w:r>
          </w:p>
          <w:p>
            <w:pPr>
              <w:spacing w:before="0" w:after="0"/>
              <w:jc w:val="left"/>
              <w:rPr>
                <w:rFonts w:cs="Arial"/>
                <w:color w:val="000000"/>
                <w:szCs w:val="22"/>
              </w:rPr>
            </w:pPr>
          </w:p>
          <w:p>
            <w:pPr>
              <w:spacing w:before="0" w:after="0"/>
              <w:jc w:val="left"/>
              <w:rPr>
                <w:rFonts w:cs="Arial"/>
                <w:color w:val="000000"/>
                <w:szCs w:val="22"/>
              </w:rPr>
            </w:pPr>
          </w:p>
        </w:tc>
        <w:tc>
          <w:tcPr>
            <w:tcW w:w="1894" w:type="dxa"/>
            <w:gridSpan w:val="2"/>
            <w:tcBorders>
              <w:top w:val="nil"/>
              <w:left w:val="nil"/>
              <w:bottom w:val="single" w:sz="4" w:space="0" w:color="auto"/>
              <w:right w:val="single" w:sz="4" w:space="0" w:color="auto"/>
            </w:tcBorders>
            <w:shd w:val="clear" w:color="auto" w:fill="auto"/>
            <w:noWrap/>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484 (3), 486 (2) und (5)</w:t>
            </w:r>
          </w:p>
        </w:tc>
      </w:tr>
      <w:tr>
        <w:tblPrEx>
          <w:tblLook w:val="04A0" w:firstRow="1" w:lastRow="0" w:firstColumn="1" w:lastColumn="0" w:noHBand="0" w:noVBand="1"/>
        </w:tblPrEx>
        <w:trPr>
          <w:trHeight w:val="85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81</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Wegen Obergrenze aus CET1 ausgeschlossener Betrag (Betrag über die Obergrenze nach Tilgungen und Fälligkeiten)</w:t>
            </w:r>
          </w:p>
        </w:tc>
        <w:tc>
          <w:tcPr>
            <w:tcW w:w="1894" w:type="dxa"/>
            <w:gridSpan w:val="2"/>
            <w:tcBorders>
              <w:top w:val="nil"/>
              <w:left w:val="nil"/>
              <w:bottom w:val="single" w:sz="4" w:space="0" w:color="auto"/>
              <w:right w:val="single" w:sz="4" w:space="0" w:color="auto"/>
            </w:tcBorders>
            <w:shd w:val="clear" w:color="auto" w:fill="auto"/>
            <w:noWrap/>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484 (3), 486 (2) und (5)</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82</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Derzeitige Obergrenze für AT1-Instrumente, für die die Auslaufregelungen gelten</w:t>
            </w:r>
          </w:p>
        </w:tc>
        <w:tc>
          <w:tcPr>
            <w:tcW w:w="1894" w:type="dxa"/>
            <w:gridSpan w:val="2"/>
            <w:tcBorders>
              <w:top w:val="nil"/>
              <w:left w:val="nil"/>
              <w:bottom w:val="single" w:sz="4" w:space="0" w:color="auto"/>
              <w:right w:val="single" w:sz="4" w:space="0" w:color="auto"/>
            </w:tcBorders>
            <w:shd w:val="clear" w:color="auto" w:fill="auto"/>
            <w:noWrap/>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484 (4), 486 (3) und (5)</w:t>
            </w:r>
          </w:p>
        </w:tc>
      </w:tr>
      <w:tr>
        <w:tblPrEx>
          <w:tblLook w:val="04A0" w:firstRow="1" w:lastRow="0" w:firstColumn="1" w:lastColumn="0" w:noHBand="0" w:noVBand="1"/>
        </w:tblPrEx>
        <w:trPr>
          <w:trHeight w:val="85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83</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Wegen Obergrenze aus AT1 ausgeschlossener Betrag (Betrag über die Obergrenze nach Tilgungen und Fälligkeiten)</w:t>
            </w:r>
          </w:p>
        </w:tc>
        <w:tc>
          <w:tcPr>
            <w:tcW w:w="1894" w:type="dxa"/>
            <w:gridSpan w:val="2"/>
            <w:tcBorders>
              <w:top w:val="nil"/>
              <w:left w:val="nil"/>
              <w:bottom w:val="single" w:sz="4" w:space="0" w:color="auto"/>
              <w:right w:val="single" w:sz="4" w:space="0" w:color="auto"/>
            </w:tcBorders>
            <w:shd w:val="clear" w:color="auto" w:fill="auto"/>
            <w:noWrap/>
            <w:hideMark/>
          </w:tcPr>
          <w:p>
            <w:pPr>
              <w:spacing w:before="0" w:after="0"/>
              <w:ind w:right="255"/>
              <w:jc w:val="right"/>
              <w:rPr>
                <w:rFonts w:cs="Arial"/>
                <w:color w:val="000000"/>
                <w:sz w:val="20"/>
                <w:szCs w:val="20"/>
              </w:rPr>
            </w:pPr>
            <w:r>
              <w:rPr>
                <w:rFonts w:cs="Arial"/>
                <w:sz w:val="18"/>
                <w:szCs w:val="18"/>
              </w:rPr>
              <w:t>0</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484 (4), 486 (3) und (5)</w:t>
            </w:r>
          </w:p>
        </w:tc>
      </w:tr>
      <w:tr>
        <w:tblPrEx>
          <w:tblLook w:val="04A0" w:firstRow="1" w:lastRow="0" w:firstColumn="1" w:lastColumn="0" w:noHBand="0" w:noVBand="1"/>
        </w:tblPrEx>
        <w:trPr>
          <w:trHeight w:val="570"/>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84</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Derzeitige Obergrenze für T2-Instrumente, für die die Auslaufregelungen gelten</w:t>
            </w:r>
          </w:p>
        </w:tc>
        <w:tc>
          <w:tcPr>
            <w:tcW w:w="1894" w:type="dxa"/>
            <w:gridSpan w:val="2"/>
            <w:tcBorders>
              <w:top w:val="nil"/>
              <w:left w:val="nil"/>
              <w:bottom w:val="single" w:sz="4" w:space="0" w:color="auto"/>
              <w:right w:val="single" w:sz="4" w:space="0" w:color="auto"/>
            </w:tcBorders>
            <w:shd w:val="clear" w:color="auto" w:fill="auto"/>
            <w:noWrap/>
            <w:hideMark/>
          </w:tcPr>
          <w:p>
            <w:pPr>
              <w:spacing w:before="0" w:after="0"/>
              <w:ind w:right="255"/>
              <w:jc w:val="right"/>
              <w:rPr>
                <w:rFonts w:cs="Arial"/>
                <w:color w:val="000000"/>
                <w:sz w:val="20"/>
                <w:szCs w:val="20"/>
              </w:rPr>
            </w:pPr>
            <w:r>
              <w:rPr>
                <w:rFonts w:cs="Arial"/>
                <w:color w:val="000000"/>
                <w:sz w:val="20"/>
                <w:szCs w:val="20"/>
              </w:rPr>
              <w:t>2.883</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484 (5), 486 (4) und (5)</w:t>
            </w:r>
          </w:p>
        </w:tc>
      </w:tr>
      <w:tr>
        <w:tblPrEx>
          <w:tblLook w:val="04A0" w:firstRow="1" w:lastRow="0" w:firstColumn="1" w:lastColumn="0" w:noHBand="0" w:noVBand="1"/>
        </w:tblPrEx>
        <w:trPr>
          <w:trHeight w:val="855"/>
        </w:trPr>
        <w:tc>
          <w:tcPr>
            <w:tcW w:w="508"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85</w:t>
            </w:r>
          </w:p>
        </w:tc>
        <w:tc>
          <w:tcPr>
            <w:tcW w:w="5619" w:type="dxa"/>
            <w:gridSpan w:val="4"/>
            <w:tcBorders>
              <w:top w:val="nil"/>
              <w:left w:val="nil"/>
              <w:bottom w:val="single" w:sz="4" w:space="0" w:color="auto"/>
              <w:right w:val="single" w:sz="4" w:space="0" w:color="auto"/>
            </w:tcBorders>
            <w:shd w:val="clear" w:color="auto" w:fill="auto"/>
            <w:hideMark/>
          </w:tcPr>
          <w:p>
            <w:pPr>
              <w:spacing w:before="0" w:after="0"/>
              <w:jc w:val="left"/>
              <w:rPr>
                <w:rFonts w:cs="Arial"/>
                <w:color w:val="000000"/>
                <w:szCs w:val="22"/>
              </w:rPr>
            </w:pPr>
            <w:r>
              <w:rPr>
                <w:rFonts w:cs="Arial"/>
                <w:color w:val="000000"/>
                <w:szCs w:val="22"/>
              </w:rPr>
              <w:t>Wegen Obergrenze aus T2 ausgeschlossener Betrag (Betrag über die Obergrenze nach Tilgungen und Fälligkeiten)</w:t>
            </w:r>
          </w:p>
        </w:tc>
        <w:tc>
          <w:tcPr>
            <w:tcW w:w="1894" w:type="dxa"/>
            <w:gridSpan w:val="2"/>
            <w:tcBorders>
              <w:top w:val="nil"/>
              <w:left w:val="nil"/>
              <w:bottom w:val="single" w:sz="4" w:space="0" w:color="auto"/>
              <w:right w:val="single" w:sz="4" w:space="0" w:color="auto"/>
            </w:tcBorders>
            <w:shd w:val="clear" w:color="auto" w:fill="auto"/>
            <w:noWrap/>
            <w:hideMark/>
          </w:tcPr>
          <w:p>
            <w:pPr>
              <w:spacing w:before="0" w:after="0"/>
              <w:ind w:right="255"/>
              <w:jc w:val="right"/>
              <w:rPr>
                <w:rFonts w:cs="Arial"/>
                <w:color w:val="000000"/>
                <w:sz w:val="20"/>
                <w:szCs w:val="20"/>
              </w:rPr>
            </w:pPr>
            <w:r>
              <w:rPr>
                <w:rFonts w:cs="Arial"/>
                <w:color w:val="000000"/>
                <w:sz w:val="20"/>
                <w:szCs w:val="20"/>
              </w:rPr>
              <w:t>- 5.515</w:t>
            </w:r>
          </w:p>
        </w:tc>
        <w:tc>
          <w:tcPr>
            <w:tcW w:w="1936" w:type="dxa"/>
            <w:gridSpan w:val="2"/>
            <w:tcBorders>
              <w:top w:val="nil"/>
              <w:left w:val="nil"/>
              <w:bottom w:val="single" w:sz="4" w:space="0" w:color="auto"/>
              <w:right w:val="single" w:sz="4" w:space="0" w:color="auto"/>
            </w:tcBorders>
            <w:shd w:val="clear" w:color="auto" w:fill="auto"/>
            <w:hideMark/>
          </w:tcPr>
          <w:p>
            <w:pPr>
              <w:spacing w:before="0" w:after="0"/>
              <w:jc w:val="left"/>
              <w:rPr>
                <w:rFonts w:cs="Arial"/>
                <w:color w:val="000000"/>
                <w:sz w:val="20"/>
                <w:szCs w:val="20"/>
              </w:rPr>
            </w:pPr>
            <w:r>
              <w:rPr>
                <w:rFonts w:cs="Arial"/>
                <w:color w:val="000000"/>
                <w:sz w:val="20"/>
                <w:szCs w:val="20"/>
              </w:rPr>
              <w:t>484 (5), 486 (4) und (5)</w:t>
            </w:r>
          </w:p>
        </w:tc>
      </w:tr>
      <w:tr>
        <w:tblPrEx>
          <w:tblLook w:val="04A0" w:firstRow="1" w:lastRow="0" w:firstColumn="1" w:lastColumn="0" w:noHBand="0" w:noVBand="1"/>
        </w:tblPrEx>
        <w:trPr>
          <w:trHeight w:val="285"/>
        </w:trPr>
        <w:tc>
          <w:tcPr>
            <w:tcW w:w="508" w:type="dxa"/>
            <w:gridSpan w:val="2"/>
            <w:tcBorders>
              <w:top w:val="nil"/>
              <w:left w:val="nil"/>
              <w:bottom w:val="nil"/>
              <w:right w:val="nil"/>
            </w:tcBorders>
            <w:shd w:val="clear" w:color="auto" w:fill="auto"/>
            <w:noWrap/>
            <w:vAlign w:val="bottom"/>
            <w:hideMark/>
          </w:tcPr>
          <w:p>
            <w:pPr>
              <w:spacing w:before="0" w:after="0"/>
              <w:jc w:val="left"/>
              <w:rPr>
                <w:rFonts w:cs="Arial"/>
                <w:color w:val="000000"/>
                <w:sz w:val="20"/>
                <w:szCs w:val="20"/>
              </w:rPr>
            </w:pPr>
          </w:p>
        </w:tc>
        <w:tc>
          <w:tcPr>
            <w:tcW w:w="5619" w:type="dxa"/>
            <w:gridSpan w:val="4"/>
            <w:tcBorders>
              <w:top w:val="nil"/>
              <w:left w:val="nil"/>
              <w:bottom w:val="nil"/>
              <w:right w:val="nil"/>
            </w:tcBorders>
            <w:shd w:val="clear" w:color="auto" w:fill="auto"/>
            <w:noWrap/>
            <w:vAlign w:val="bottom"/>
            <w:hideMark/>
          </w:tcPr>
          <w:p>
            <w:pPr>
              <w:spacing w:before="0" w:after="0"/>
              <w:jc w:val="left"/>
              <w:rPr>
                <w:rFonts w:ascii="Times New Roman" w:hAnsi="Times New Roman"/>
                <w:sz w:val="20"/>
                <w:szCs w:val="20"/>
              </w:rPr>
            </w:pPr>
          </w:p>
        </w:tc>
        <w:tc>
          <w:tcPr>
            <w:tcW w:w="1894" w:type="dxa"/>
            <w:gridSpan w:val="2"/>
            <w:tcBorders>
              <w:top w:val="nil"/>
              <w:left w:val="nil"/>
              <w:bottom w:val="nil"/>
              <w:right w:val="nil"/>
            </w:tcBorders>
            <w:shd w:val="clear" w:color="auto" w:fill="auto"/>
            <w:noWrap/>
            <w:vAlign w:val="bottom"/>
            <w:hideMark/>
          </w:tcPr>
          <w:p>
            <w:pPr>
              <w:spacing w:before="0" w:after="0"/>
              <w:jc w:val="left"/>
              <w:rPr>
                <w:rFonts w:ascii="Times New Roman" w:hAnsi="Times New Roman"/>
                <w:sz w:val="20"/>
                <w:szCs w:val="20"/>
              </w:rPr>
            </w:pPr>
          </w:p>
        </w:tc>
        <w:tc>
          <w:tcPr>
            <w:tcW w:w="1936" w:type="dxa"/>
            <w:gridSpan w:val="2"/>
            <w:tcBorders>
              <w:top w:val="nil"/>
              <w:left w:val="nil"/>
              <w:bottom w:val="nil"/>
              <w:right w:val="nil"/>
            </w:tcBorders>
            <w:shd w:val="clear" w:color="auto" w:fill="auto"/>
            <w:noWrap/>
            <w:vAlign w:val="bottom"/>
            <w:hideMark/>
          </w:tcPr>
          <w:p>
            <w:pPr>
              <w:spacing w:before="0" w:after="0"/>
              <w:jc w:val="left"/>
              <w:rPr>
                <w:rFonts w:ascii="Times New Roman" w:hAnsi="Times New Roman"/>
                <w:sz w:val="20"/>
                <w:szCs w:val="20"/>
              </w:rPr>
            </w:pPr>
          </w:p>
        </w:tc>
      </w:tr>
      <w:tr>
        <w:tblPrEx>
          <w:tblLook w:val="04A0" w:firstRow="1" w:lastRow="0" w:firstColumn="1" w:lastColumn="0" w:noHBand="0" w:noVBand="1"/>
        </w:tblPrEx>
        <w:trPr>
          <w:trHeight w:val="285"/>
        </w:trPr>
        <w:tc>
          <w:tcPr>
            <w:tcW w:w="508" w:type="dxa"/>
            <w:gridSpan w:val="2"/>
            <w:tcBorders>
              <w:top w:val="nil"/>
              <w:left w:val="nil"/>
              <w:bottom w:val="nil"/>
              <w:right w:val="nil"/>
            </w:tcBorders>
            <w:shd w:val="clear" w:color="auto" w:fill="auto"/>
            <w:noWrap/>
            <w:vAlign w:val="bottom"/>
            <w:hideMark/>
          </w:tcPr>
          <w:p>
            <w:pPr>
              <w:spacing w:before="0" w:after="0"/>
              <w:jc w:val="left"/>
              <w:rPr>
                <w:rFonts w:ascii="Times New Roman" w:hAnsi="Times New Roman"/>
                <w:sz w:val="20"/>
                <w:szCs w:val="20"/>
              </w:rPr>
            </w:pPr>
          </w:p>
        </w:tc>
        <w:tc>
          <w:tcPr>
            <w:tcW w:w="9449" w:type="dxa"/>
            <w:gridSpan w:val="8"/>
            <w:tcBorders>
              <w:top w:val="nil"/>
              <w:left w:val="nil"/>
              <w:bottom w:val="nil"/>
              <w:right w:val="nil"/>
            </w:tcBorders>
            <w:shd w:val="clear" w:color="auto" w:fill="auto"/>
            <w:noWrap/>
            <w:vAlign w:val="bottom"/>
            <w:hideMark/>
          </w:tcPr>
          <w:p>
            <w:pPr>
              <w:spacing w:before="0" w:after="0"/>
              <w:jc w:val="left"/>
              <w:rPr>
                <w:rFonts w:cs="Arial"/>
                <w:color w:val="000000"/>
                <w:sz w:val="18"/>
                <w:szCs w:val="18"/>
              </w:rPr>
            </w:pPr>
            <w:r>
              <w:rPr>
                <w:rFonts w:cs="Arial"/>
                <w:color w:val="000000"/>
                <w:sz w:val="18"/>
                <w:szCs w:val="18"/>
              </w:rPr>
              <w:t xml:space="preserve">                                                                           * Maßgeblich sind die Daten am Offenlegungsstichtag (i. d. R. 31.12.)</w:t>
            </w:r>
          </w:p>
        </w:tc>
      </w:tr>
    </w:tbl>
    <w:p>
      <w:pPr>
        <w:ind w:left="284"/>
      </w:pPr>
    </w:p>
    <w:sectPr>
      <w:headerReference w:type="even" r:id="rId10"/>
      <w:headerReference w:type="default" r:id="rId11"/>
      <w:footerReference w:type="default" r:id="rId12"/>
      <w:headerReference w:type="first" r:id="rId13"/>
      <w:pgSz w:w="11906" w:h="16838" w:code="9"/>
      <w:pgMar w:top="1418" w:right="1418" w:bottom="1134" w:left="1418" w:header="709" w:footer="709" w:gutter="0"/>
      <w:cols w:sep="1"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Fet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rPr>
        <w:rFonts w:cs="Arial"/>
        <w:sz w:val="18"/>
      </w:rPr>
    </w:pPr>
    <w:r>
      <w:rPr>
        <w:rFonts w:cs="Arial"/>
        <w:noProof/>
        <w:sz w:val="20"/>
      </w:rPr>
      <w:drawing>
        <wp:anchor distT="0" distB="0" distL="114300" distR="114300" simplePos="0" relativeHeight="251661312" behindDoc="0" locked="0" layoutInCell="1" allowOverlap="1">
          <wp:simplePos x="0" y="0"/>
          <wp:positionH relativeFrom="column">
            <wp:posOffset>7620</wp:posOffset>
          </wp:positionH>
          <wp:positionV relativeFrom="paragraph">
            <wp:posOffset>8255</wp:posOffset>
          </wp:positionV>
          <wp:extent cx="685800" cy="220345"/>
          <wp:effectExtent l="0" t="0" r="0" b="8255"/>
          <wp:wrapNone/>
          <wp:docPr id="1" name="Bild 2" descr="dgrv_logo_tran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rv_logo_transp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20345"/>
                  </a:xfrm>
                  <a:prstGeom prst="rect">
                    <a:avLst/>
                  </a:prstGeom>
                  <a:noFill/>
                </pic:spPr>
              </pic:pic>
            </a:graphicData>
          </a:graphic>
        </wp:anchor>
      </w:drawing>
    </w:r>
    <w:r>
      <w:rPr>
        <w:rFonts w:cs="Arial"/>
        <w:sz w:val="18"/>
      </w:rPr>
      <w:tab/>
    </w:r>
    <w:r>
      <w:rPr>
        <w:rFonts w:cs="Arial"/>
        <w:sz w:val="18"/>
      </w:rPr>
      <w:tab/>
      <w:t xml:space="preserve">Seite </w:t>
    </w:r>
    <w:r>
      <w:rPr>
        <w:rStyle w:val="Seitenzahl"/>
        <w:rFonts w:cs="Arial"/>
        <w:sz w:val="18"/>
      </w:rPr>
      <w:fldChar w:fldCharType="begin"/>
    </w:r>
    <w:r>
      <w:rPr>
        <w:rStyle w:val="Seitenzahl"/>
        <w:rFonts w:cs="Arial"/>
        <w:sz w:val="18"/>
      </w:rPr>
      <w:instrText xml:space="preserve"> PAGE </w:instrText>
    </w:r>
    <w:r>
      <w:rPr>
        <w:rStyle w:val="Seitenzahl"/>
        <w:rFonts w:cs="Arial"/>
        <w:sz w:val="18"/>
      </w:rPr>
      <w:fldChar w:fldCharType="separate"/>
    </w:r>
    <w:r>
      <w:rPr>
        <w:rStyle w:val="Seitenzahl"/>
        <w:rFonts w:cs="Arial"/>
        <w:noProof/>
        <w:sz w:val="18"/>
      </w:rPr>
      <w:t>2</w:t>
    </w:r>
    <w:r>
      <w:rPr>
        <w:rStyle w:val="Seitenzahl"/>
        <w:rFonts w:cs="Arial"/>
        <w:sz w:val="18"/>
      </w:rPr>
      <w:fldChar w:fldCharType="end"/>
    </w:r>
    <w:r>
      <w:rPr>
        <w:rStyle w:val="Seitenzahl"/>
        <w:rFonts w:cs="Arial"/>
        <w:sz w:val="18"/>
      </w:rPr>
      <w:t>/</w:t>
    </w:r>
    <w:r>
      <w:rPr>
        <w:rStyle w:val="Seitenzahl"/>
        <w:rFonts w:cs="Arial"/>
        <w:sz w:val="18"/>
      </w:rPr>
      <w:fldChar w:fldCharType="begin"/>
    </w:r>
    <w:r>
      <w:rPr>
        <w:rStyle w:val="Seitenzahl"/>
        <w:rFonts w:cs="Arial"/>
        <w:sz w:val="18"/>
      </w:rPr>
      <w:instrText xml:space="preserve"> NUMPAGES </w:instrText>
    </w:r>
    <w:r>
      <w:rPr>
        <w:rStyle w:val="Seitenzahl"/>
        <w:rFonts w:cs="Arial"/>
        <w:sz w:val="18"/>
      </w:rPr>
      <w:fldChar w:fldCharType="separate"/>
    </w:r>
    <w:r>
      <w:rPr>
        <w:rStyle w:val="Seitenzahl"/>
        <w:rFonts w:cs="Arial"/>
        <w:noProof/>
        <w:sz w:val="18"/>
      </w:rPr>
      <w:t>30</w:t>
    </w:r>
    <w:r>
      <w:rPr>
        <w:rStyle w:val="Seitenzahl"/>
        <w:rFonts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left"/>
      <w:rPr>
        <w:rFonts w:cs="Arial"/>
        <w:color w:val="808080"/>
        <w:sz w:val="18"/>
      </w:rPr>
    </w:pPr>
    <w:r>
      <w:rPr>
        <w:rFonts w:cs="Arial"/>
        <w:color w:val="808080"/>
        <w:sz w:val="18"/>
      </w:rPr>
      <w:tab/>
    </w:r>
    <w:r>
      <w:rPr>
        <w:rFonts w:cs="Arial"/>
        <w:color w:val="808080"/>
        <w:sz w:val="18"/>
      </w:rPr>
      <w:tab/>
      <w:t xml:space="preserve">Seite </w:t>
    </w:r>
    <w:r>
      <w:rPr>
        <w:rStyle w:val="Seitenzahl"/>
        <w:rFonts w:cs="Arial"/>
        <w:color w:val="808080"/>
        <w:sz w:val="18"/>
      </w:rPr>
      <w:fldChar w:fldCharType="begin"/>
    </w:r>
    <w:r>
      <w:rPr>
        <w:rStyle w:val="Seitenzahl"/>
        <w:rFonts w:cs="Arial"/>
        <w:color w:val="808080"/>
        <w:sz w:val="18"/>
      </w:rPr>
      <w:instrText xml:space="preserve"> PAGE </w:instrText>
    </w:r>
    <w:r>
      <w:rPr>
        <w:rStyle w:val="Seitenzahl"/>
        <w:rFonts w:cs="Arial"/>
        <w:color w:val="808080"/>
        <w:sz w:val="18"/>
      </w:rPr>
      <w:fldChar w:fldCharType="separate"/>
    </w:r>
    <w:r>
      <w:rPr>
        <w:rStyle w:val="Seitenzahl"/>
        <w:rFonts w:cs="Arial"/>
        <w:noProof/>
        <w:color w:val="808080"/>
        <w:sz w:val="18"/>
      </w:rPr>
      <w:t>8</w:t>
    </w:r>
    <w:r>
      <w:rPr>
        <w:rStyle w:val="Seitenzahl"/>
        <w:rFonts w:cs="Arial"/>
        <w:color w:val="808080"/>
        <w:sz w:val="18"/>
      </w:rPr>
      <w:fldChar w:fldCharType="end"/>
    </w:r>
    <w:r>
      <w:rPr>
        <w:rStyle w:val="Seitenzahl"/>
        <w:rFonts w:cs="Arial"/>
        <w:color w:val="808080"/>
        <w:sz w:val="18"/>
      </w:rPr>
      <w:t>/</w:t>
    </w:r>
    <w:r>
      <w:rPr>
        <w:rStyle w:val="Seitenzahl"/>
        <w:rFonts w:cs="Arial"/>
        <w:color w:val="808080"/>
        <w:sz w:val="18"/>
      </w:rPr>
      <w:fldChar w:fldCharType="begin"/>
    </w:r>
    <w:r>
      <w:rPr>
        <w:rStyle w:val="Seitenzahl"/>
        <w:rFonts w:cs="Arial"/>
        <w:color w:val="808080"/>
        <w:sz w:val="18"/>
      </w:rPr>
      <w:instrText xml:space="preserve"> NUMPAGES </w:instrText>
    </w:r>
    <w:r>
      <w:rPr>
        <w:rStyle w:val="Seitenzahl"/>
        <w:rFonts w:cs="Arial"/>
        <w:color w:val="808080"/>
        <w:sz w:val="18"/>
      </w:rPr>
      <w:fldChar w:fldCharType="separate"/>
    </w:r>
    <w:r>
      <w:rPr>
        <w:rStyle w:val="Seitenzahl"/>
        <w:rFonts w:cs="Arial"/>
        <w:noProof/>
        <w:color w:val="808080"/>
        <w:sz w:val="18"/>
      </w:rPr>
      <w:t>30</w:t>
    </w:r>
    <w:r>
      <w:rPr>
        <w:rStyle w:val="Seitenzahl"/>
        <w:rFonts w:cs="Arial"/>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unotentext"/>
      </w:pPr>
      <w:r>
        <w:rPr>
          <w:rStyle w:val="Funotenzeichen"/>
        </w:rPr>
        <w:footnoteRef/>
      </w:r>
      <w:r>
        <w:t xml:space="preserve"> </w:t>
      </w:r>
      <w:r>
        <w:tab/>
        <w:t xml:space="preserve">Bei Wiederverbriefungen handelt es sich um Verbriefungen, bei der das mit einem zugrunde liegenden Pool von Forderungen verbundene Risiko in Tranchen unterteilt wird und mindestens eine der zugrunde liegenden Forderungen eine Verbriefungsposition ist. </w:t>
      </w:r>
    </w:p>
  </w:footnote>
  <w:footnote w:id="3">
    <w:p>
      <w:pPr>
        <w:pStyle w:val="Funotentext"/>
      </w:pPr>
      <w:r>
        <w:rPr>
          <w:rStyle w:val="Funotenzeichen"/>
        </w:rPr>
        <w:footnoteRef/>
      </w:r>
      <w:r>
        <w:t xml:space="preserve"> im Rahmen der allgemeinen Kreditrisikoanpassung</w:t>
      </w:r>
    </w:p>
  </w:footnote>
  <w:footnote w:id="4">
    <w:p>
      <w:pPr>
        <w:pStyle w:val="Funotentext"/>
      </w:pPr>
      <w:r>
        <w:rPr>
          <w:rStyle w:val="Funotenzeichen"/>
        </w:rPr>
        <w:footnoteRef/>
      </w:r>
      <w:r>
        <w:t xml:space="preserve"> Die schraffierten Zeilen sind für Kreditgenossenschaften nicht von Relevanz.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8" w:space="1" w:color="808080"/>
      </w:pBdr>
      <w:tabs>
        <w:tab w:val="clear" w:pos="4536"/>
        <w:tab w:val="clear" w:pos="9072"/>
        <w:tab w:val="center" w:pos="7229"/>
        <w:tab w:val="right" w:pos="14459"/>
      </w:tabs>
      <w:rPr>
        <w:rFonts w:cs="Arial"/>
        <w:color w:val="808080"/>
        <w:sz w:val="18"/>
      </w:rPr>
    </w:pPr>
    <w:r>
      <w:rPr>
        <w:rFonts w:cs="Arial"/>
        <w:noProof/>
        <w:color w:val="808080"/>
        <w:sz w:val="18"/>
      </w:rPr>
      <w:drawing>
        <wp:anchor distT="0" distB="0" distL="114300" distR="114300" simplePos="0" relativeHeight="251657216" behindDoc="0" locked="0" layoutInCell="1" allowOverlap="1">
          <wp:simplePos x="0" y="0"/>
          <wp:positionH relativeFrom="column">
            <wp:posOffset>8404860</wp:posOffset>
          </wp:positionH>
          <wp:positionV relativeFrom="paragraph">
            <wp:posOffset>-76835</wp:posOffset>
          </wp:positionV>
          <wp:extent cx="685800" cy="220345"/>
          <wp:effectExtent l="0" t="0" r="0" b="8255"/>
          <wp:wrapNone/>
          <wp:docPr id="4" name="Bild 5" descr="dgrv_logo_tran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rv_logo_transp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20345"/>
                  </a:xfrm>
                  <a:prstGeom prst="rect">
                    <a:avLst/>
                  </a:prstGeom>
                  <a:noFill/>
                </pic:spPr>
              </pic:pic>
            </a:graphicData>
          </a:graphic>
        </wp:anchor>
      </w:drawing>
    </w:r>
    <w:r>
      <w:rPr>
        <w:rFonts w:cs="Arial"/>
        <w:noProof/>
        <w:color w:val="808080"/>
        <w:sz w:val="18"/>
      </w:rPr>
      <w:t>Offenlegungsbericht</w:t>
    </w:r>
    <w:r>
      <w:rPr>
        <w:rFonts w:cs="Arial"/>
        <w:color w:val="808080"/>
        <w:sz w:val="18"/>
      </w:rPr>
      <w:t xml:space="preserve"> der Volksbank Greven eG für das Jahr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5F2261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CA5454A"/>
    <w:multiLevelType w:val="hybridMultilevel"/>
    <w:tmpl w:val="B9EC05D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7E5E42"/>
    <w:multiLevelType w:val="hybridMultilevel"/>
    <w:tmpl w:val="ABF6B27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1367E30"/>
    <w:multiLevelType w:val="hybridMultilevel"/>
    <w:tmpl w:val="7D3A9EBA"/>
    <w:lvl w:ilvl="0" w:tplc="F1062342">
      <w:start w:val="1"/>
      <w:numFmt w:val="bullet"/>
      <w:pStyle w:val="Aufzhlungszeichen2"/>
      <w:lvlText w:val=""/>
      <w:lvlJc w:val="left"/>
      <w:pPr>
        <w:tabs>
          <w:tab w:val="num" w:pos="360"/>
        </w:tabs>
        <w:ind w:left="360" w:hanging="360"/>
      </w:pPr>
      <w:rPr>
        <w:rFonts w:ascii="Wingdings" w:hAnsi="Wingdings" w:hint="default"/>
      </w:rPr>
    </w:lvl>
    <w:lvl w:ilvl="1" w:tplc="AD228B20">
      <w:start w:val="1"/>
      <w:numFmt w:val="bullet"/>
      <w:lvlText w:val=""/>
      <w:lvlJc w:val="left"/>
      <w:pPr>
        <w:tabs>
          <w:tab w:val="num" w:pos="1440"/>
        </w:tabs>
        <w:ind w:left="1440" w:hanging="360"/>
      </w:pPr>
      <w:rPr>
        <w:rFonts w:ascii="Symbol" w:hAnsi="Symbol" w:hint="default"/>
        <w:b/>
        <w:i w:val="0"/>
        <w:color w:val="FF0000"/>
        <w:sz w:val="22"/>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10B9F"/>
    <w:multiLevelType w:val="hybridMultilevel"/>
    <w:tmpl w:val="0950A156"/>
    <w:lvl w:ilvl="0" w:tplc="04070001">
      <w:start w:val="1"/>
      <w:numFmt w:val="bullet"/>
      <w:lvlText w:val=""/>
      <w:lvlJc w:val="left"/>
      <w:pPr>
        <w:ind w:left="1217" w:hanging="360"/>
      </w:pPr>
      <w:rPr>
        <w:rFonts w:ascii="Symbol" w:hAnsi="Symbol" w:hint="default"/>
      </w:rPr>
    </w:lvl>
    <w:lvl w:ilvl="1" w:tplc="04070003" w:tentative="1">
      <w:start w:val="1"/>
      <w:numFmt w:val="bullet"/>
      <w:lvlText w:val="o"/>
      <w:lvlJc w:val="left"/>
      <w:pPr>
        <w:ind w:left="1937" w:hanging="360"/>
      </w:pPr>
      <w:rPr>
        <w:rFonts w:ascii="Courier New" w:hAnsi="Courier New" w:cs="Courier New" w:hint="default"/>
      </w:rPr>
    </w:lvl>
    <w:lvl w:ilvl="2" w:tplc="04070005" w:tentative="1">
      <w:start w:val="1"/>
      <w:numFmt w:val="bullet"/>
      <w:lvlText w:val=""/>
      <w:lvlJc w:val="left"/>
      <w:pPr>
        <w:ind w:left="2657" w:hanging="360"/>
      </w:pPr>
      <w:rPr>
        <w:rFonts w:ascii="Wingdings" w:hAnsi="Wingdings" w:hint="default"/>
      </w:rPr>
    </w:lvl>
    <w:lvl w:ilvl="3" w:tplc="04070001" w:tentative="1">
      <w:start w:val="1"/>
      <w:numFmt w:val="bullet"/>
      <w:lvlText w:val=""/>
      <w:lvlJc w:val="left"/>
      <w:pPr>
        <w:ind w:left="3377" w:hanging="360"/>
      </w:pPr>
      <w:rPr>
        <w:rFonts w:ascii="Symbol" w:hAnsi="Symbol" w:hint="default"/>
      </w:rPr>
    </w:lvl>
    <w:lvl w:ilvl="4" w:tplc="04070003" w:tentative="1">
      <w:start w:val="1"/>
      <w:numFmt w:val="bullet"/>
      <w:lvlText w:val="o"/>
      <w:lvlJc w:val="left"/>
      <w:pPr>
        <w:ind w:left="4097" w:hanging="360"/>
      </w:pPr>
      <w:rPr>
        <w:rFonts w:ascii="Courier New" w:hAnsi="Courier New" w:cs="Courier New" w:hint="default"/>
      </w:rPr>
    </w:lvl>
    <w:lvl w:ilvl="5" w:tplc="04070005" w:tentative="1">
      <w:start w:val="1"/>
      <w:numFmt w:val="bullet"/>
      <w:lvlText w:val=""/>
      <w:lvlJc w:val="left"/>
      <w:pPr>
        <w:ind w:left="4817" w:hanging="360"/>
      </w:pPr>
      <w:rPr>
        <w:rFonts w:ascii="Wingdings" w:hAnsi="Wingdings" w:hint="default"/>
      </w:rPr>
    </w:lvl>
    <w:lvl w:ilvl="6" w:tplc="04070001" w:tentative="1">
      <w:start w:val="1"/>
      <w:numFmt w:val="bullet"/>
      <w:lvlText w:val=""/>
      <w:lvlJc w:val="left"/>
      <w:pPr>
        <w:ind w:left="5537" w:hanging="360"/>
      </w:pPr>
      <w:rPr>
        <w:rFonts w:ascii="Symbol" w:hAnsi="Symbol" w:hint="default"/>
      </w:rPr>
    </w:lvl>
    <w:lvl w:ilvl="7" w:tplc="04070003" w:tentative="1">
      <w:start w:val="1"/>
      <w:numFmt w:val="bullet"/>
      <w:lvlText w:val="o"/>
      <w:lvlJc w:val="left"/>
      <w:pPr>
        <w:ind w:left="6257" w:hanging="360"/>
      </w:pPr>
      <w:rPr>
        <w:rFonts w:ascii="Courier New" w:hAnsi="Courier New" w:cs="Courier New" w:hint="default"/>
      </w:rPr>
    </w:lvl>
    <w:lvl w:ilvl="8" w:tplc="04070005" w:tentative="1">
      <w:start w:val="1"/>
      <w:numFmt w:val="bullet"/>
      <w:lvlText w:val=""/>
      <w:lvlJc w:val="left"/>
      <w:pPr>
        <w:ind w:left="6977" w:hanging="360"/>
      </w:pPr>
      <w:rPr>
        <w:rFonts w:ascii="Wingdings" w:hAnsi="Wingdings" w:hint="default"/>
      </w:rPr>
    </w:lvl>
  </w:abstractNum>
  <w:abstractNum w:abstractNumId="5" w15:restartNumberingAfterBreak="0">
    <w:nsid w:val="23714F9B"/>
    <w:multiLevelType w:val="hybridMultilevel"/>
    <w:tmpl w:val="5B0EB9D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4B2792C"/>
    <w:multiLevelType w:val="hybridMultilevel"/>
    <w:tmpl w:val="61B6DF60"/>
    <w:lvl w:ilvl="0" w:tplc="CB32DE30">
      <w:start w:val="1"/>
      <w:numFmt w:val="decimal"/>
      <w:pStyle w:val="Randziffer"/>
      <w:lvlText w:val="%1"/>
      <w:lvlJc w:val="left"/>
      <w:pPr>
        <w:tabs>
          <w:tab w:val="num" w:pos="501"/>
        </w:tabs>
        <w:ind w:left="501" w:hanging="360"/>
      </w:pPr>
      <w:rPr>
        <w:rFonts w:ascii="Arial" w:hAnsi="Arial" w:hint="default"/>
        <w:b w:val="0"/>
        <w:i w:val="0"/>
        <w:sz w:val="22"/>
      </w:rPr>
    </w:lvl>
    <w:lvl w:ilvl="1" w:tplc="FC5266C0">
      <w:start w:val="1"/>
      <w:numFmt w:val="lowerLetter"/>
      <w:lvlText w:val="%2)"/>
      <w:lvlJc w:val="left"/>
      <w:pPr>
        <w:tabs>
          <w:tab w:val="num" w:pos="858"/>
        </w:tabs>
        <w:ind w:left="858" w:hanging="705"/>
      </w:pPr>
      <w:rPr>
        <w:rFonts w:hint="default"/>
      </w:rPr>
    </w:lvl>
    <w:lvl w:ilvl="2" w:tplc="1688B8D4">
      <w:start w:val="1"/>
      <w:numFmt w:val="bullet"/>
      <w:lvlText w:val=""/>
      <w:lvlJc w:val="left"/>
      <w:pPr>
        <w:tabs>
          <w:tab w:val="num" w:pos="1413"/>
        </w:tabs>
        <w:ind w:left="1413" w:hanging="360"/>
      </w:pPr>
      <w:rPr>
        <w:rFonts w:ascii="Wingdings" w:hAnsi="Wingdings" w:hint="default"/>
        <w:color w:val="000080"/>
      </w:rPr>
    </w:lvl>
    <w:lvl w:ilvl="3" w:tplc="0407000F" w:tentative="1">
      <w:start w:val="1"/>
      <w:numFmt w:val="decimal"/>
      <w:lvlText w:val="%4."/>
      <w:lvlJc w:val="left"/>
      <w:pPr>
        <w:tabs>
          <w:tab w:val="num" w:pos="1953"/>
        </w:tabs>
        <w:ind w:left="1953" w:hanging="360"/>
      </w:pPr>
    </w:lvl>
    <w:lvl w:ilvl="4" w:tplc="04070019" w:tentative="1">
      <w:start w:val="1"/>
      <w:numFmt w:val="lowerLetter"/>
      <w:lvlText w:val="%5."/>
      <w:lvlJc w:val="left"/>
      <w:pPr>
        <w:tabs>
          <w:tab w:val="num" w:pos="2673"/>
        </w:tabs>
        <w:ind w:left="2673" w:hanging="360"/>
      </w:pPr>
    </w:lvl>
    <w:lvl w:ilvl="5" w:tplc="0407001B" w:tentative="1">
      <w:start w:val="1"/>
      <w:numFmt w:val="lowerRoman"/>
      <w:lvlText w:val="%6."/>
      <w:lvlJc w:val="right"/>
      <w:pPr>
        <w:tabs>
          <w:tab w:val="num" w:pos="3393"/>
        </w:tabs>
        <w:ind w:left="3393" w:hanging="180"/>
      </w:pPr>
    </w:lvl>
    <w:lvl w:ilvl="6" w:tplc="0407000F" w:tentative="1">
      <w:start w:val="1"/>
      <w:numFmt w:val="decimal"/>
      <w:lvlText w:val="%7."/>
      <w:lvlJc w:val="left"/>
      <w:pPr>
        <w:tabs>
          <w:tab w:val="num" w:pos="4113"/>
        </w:tabs>
        <w:ind w:left="4113" w:hanging="360"/>
      </w:pPr>
    </w:lvl>
    <w:lvl w:ilvl="7" w:tplc="04070019" w:tentative="1">
      <w:start w:val="1"/>
      <w:numFmt w:val="lowerLetter"/>
      <w:lvlText w:val="%8."/>
      <w:lvlJc w:val="left"/>
      <w:pPr>
        <w:tabs>
          <w:tab w:val="num" w:pos="4833"/>
        </w:tabs>
        <w:ind w:left="4833" w:hanging="360"/>
      </w:pPr>
    </w:lvl>
    <w:lvl w:ilvl="8" w:tplc="0407001B" w:tentative="1">
      <w:start w:val="1"/>
      <w:numFmt w:val="lowerRoman"/>
      <w:lvlText w:val="%9."/>
      <w:lvlJc w:val="right"/>
      <w:pPr>
        <w:tabs>
          <w:tab w:val="num" w:pos="5553"/>
        </w:tabs>
        <w:ind w:left="5553" w:hanging="180"/>
      </w:pPr>
    </w:lvl>
  </w:abstractNum>
  <w:abstractNum w:abstractNumId="7" w15:restartNumberingAfterBreak="0">
    <w:nsid w:val="33CE1643"/>
    <w:multiLevelType w:val="hybridMultilevel"/>
    <w:tmpl w:val="7EF4C2A8"/>
    <w:lvl w:ilvl="0" w:tplc="04070001">
      <w:start w:val="1"/>
      <w:numFmt w:val="bullet"/>
      <w:lvlText w:val=""/>
      <w:lvlJc w:val="left"/>
      <w:pPr>
        <w:ind w:left="735" w:hanging="360"/>
      </w:pPr>
      <w:rPr>
        <w:rFonts w:ascii="Symbol" w:hAnsi="Symbol" w:hint="default"/>
      </w:rPr>
    </w:lvl>
    <w:lvl w:ilvl="1" w:tplc="04070003">
      <w:start w:val="1"/>
      <w:numFmt w:val="bullet"/>
      <w:lvlText w:val="o"/>
      <w:lvlJc w:val="left"/>
      <w:pPr>
        <w:ind w:left="1455" w:hanging="360"/>
      </w:pPr>
      <w:rPr>
        <w:rFonts w:ascii="Courier New" w:hAnsi="Courier New" w:cs="Courier New" w:hint="default"/>
      </w:rPr>
    </w:lvl>
    <w:lvl w:ilvl="2" w:tplc="04070005" w:tentative="1">
      <w:start w:val="1"/>
      <w:numFmt w:val="bullet"/>
      <w:lvlText w:val=""/>
      <w:lvlJc w:val="left"/>
      <w:pPr>
        <w:ind w:left="2175" w:hanging="360"/>
      </w:pPr>
      <w:rPr>
        <w:rFonts w:ascii="Wingdings" w:hAnsi="Wingdings" w:hint="default"/>
      </w:rPr>
    </w:lvl>
    <w:lvl w:ilvl="3" w:tplc="04070001" w:tentative="1">
      <w:start w:val="1"/>
      <w:numFmt w:val="bullet"/>
      <w:lvlText w:val=""/>
      <w:lvlJc w:val="left"/>
      <w:pPr>
        <w:ind w:left="2895" w:hanging="360"/>
      </w:pPr>
      <w:rPr>
        <w:rFonts w:ascii="Symbol" w:hAnsi="Symbol" w:hint="default"/>
      </w:rPr>
    </w:lvl>
    <w:lvl w:ilvl="4" w:tplc="04070003" w:tentative="1">
      <w:start w:val="1"/>
      <w:numFmt w:val="bullet"/>
      <w:lvlText w:val="o"/>
      <w:lvlJc w:val="left"/>
      <w:pPr>
        <w:ind w:left="3615" w:hanging="360"/>
      </w:pPr>
      <w:rPr>
        <w:rFonts w:ascii="Courier New" w:hAnsi="Courier New" w:cs="Courier New" w:hint="default"/>
      </w:rPr>
    </w:lvl>
    <w:lvl w:ilvl="5" w:tplc="04070005" w:tentative="1">
      <w:start w:val="1"/>
      <w:numFmt w:val="bullet"/>
      <w:lvlText w:val=""/>
      <w:lvlJc w:val="left"/>
      <w:pPr>
        <w:ind w:left="4335" w:hanging="360"/>
      </w:pPr>
      <w:rPr>
        <w:rFonts w:ascii="Wingdings" w:hAnsi="Wingdings" w:hint="default"/>
      </w:rPr>
    </w:lvl>
    <w:lvl w:ilvl="6" w:tplc="04070001" w:tentative="1">
      <w:start w:val="1"/>
      <w:numFmt w:val="bullet"/>
      <w:lvlText w:val=""/>
      <w:lvlJc w:val="left"/>
      <w:pPr>
        <w:ind w:left="5055" w:hanging="360"/>
      </w:pPr>
      <w:rPr>
        <w:rFonts w:ascii="Symbol" w:hAnsi="Symbol" w:hint="default"/>
      </w:rPr>
    </w:lvl>
    <w:lvl w:ilvl="7" w:tplc="04070003" w:tentative="1">
      <w:start w:val="1"/>
      <w:numFmt w:val="bullet"/>
      <w:lvlText w:val="o"/>
      <w:lvlJc w:val="left"/>
      <w:pPr>
        <w:ind w:left="5775" w:hanging="360"/>
      </w:pPr>
      <w:rPr>
        <w:rFonts w:ascii="Courier New" w:hAnsi="Courier New" w:cs="Courier New" w:hint="default"/>
      </w:rPr>
    </w:lvl>
    <w:lvl w:ilvl="8" w:tplc="04070005" w:tentative="1">
      <w:start w:val="1"/>
      <w:numFmt w:val="bullet"/>
      <w:lvlText w:val=""/>
      <w:lvlJc w:val="left"/>
      <w:pPr>
        <w:ind w:left="6495" w:hanging="360"/>
      </w:pPr>
      <w:rPr>
        <w:rFonts w:ascii="Wingdings" w:hAnsi="Wingdings" w:hint="default"/>
      </w:rPr>
    </w:lvl>
  </w:abstractNum>
  <w:abstractNum w:abstractNumId="8" w15:restartNumberingAfterBreak="0">
    <w:nsid w:val="35D437C0"/>
    <w:multiLevelType w:val="hybridMultilevel"/>
    <w:tmpl w:val="E7925C94"/>
    <w:lvl w:ilvl="0" w:tplc="04070001">
      <w:start w:val="1"/>
      <w:numFmt w:val="bullet"/>
      <w:lvlText w:val=""/>
      <w:lvlJc w:val="left"/>
      <w:pPr>
        <w:ind w:left="1217" w:hanging="360"/>
      </w:pPr>
      <w:rPr>
        <w:rFonts w:ascii="Symbol" w:hAnsi="Symbol" w:hint="default"/>
      </w:rPr>
    </w:lvl>
    <w:lvl w:ilvl="1" w:tplc="04070003" w:tentative="1">
      <w:start w:val="1"/>
      <w:numFmt w:val="bullet"/>
      <w:lvlText w:val="o"/>
      <w:lvlJc w:val="left"/>
      <w:pPr>
        <w:ind w:left="1937" w:hanging="360"/>
      </w:pPr>
      <w:rPr>
        <w:rFonts w:ascii="Courier New" w:hAnsi="Courier New" w:cs="Courier New" w:hint="default"/>
      </w:rPr>
    </w:lvl>
    <w:lvl w:ilvl="2" w:tplc="04070005" w:tentative="1">
      <w:start w:val="1"/>
      <w:numFmt w:val="bullet"/>
      <w:lvlText w:val=""/>
      <w:lvlJc w:val="left"/>
      <w:pPr>
        <w:ind w:left="2657" w:hanging="360"/>
      </w:pPr>
      <w:rPr>
        <w:rFonts w:ascii="Wingdings" w:hAnsi="Wingdings" w:hint="default"/>
      </w:rPr>
    </w:lvl>
    <w:lvl w:ilvl="3" w:tplc="04070001" w:tentative="1">
      <w:start w:val="1"/>
      <w:numFmt w:val="bullet"/>
      <w:lvlText w:val=""/>
      <w:lvlJc w:val="left"/>
      <w:pPr>
        <w:ind w:left="3377" w:hanging="360"/>
      </w:pPr>
      <w:rPr>
        <w:rFonts w:ascii="Symbol" w:hAnsi="Symbol" w:hint="default"/>
      </w:rPr>
    </w:lvl>
    <w:lvl w:ilvl="4" w:tplc="04070003" w:tentative="1">
      <w:start w:val="1"/>
      <w:numFmt w:val="bullet"/>
      <w:lvlText w:val="o"/>
      <w:lvlJc w:val="left"/>
      <w:pPr>
        <w:ind w:left="4097" w:hanging="360"/>
      </w:pPr>
      <w:rPr>
        <w:rFonts w:ascii="Courier New" w:hAnsi="Courier New" w:cs="Courier New" w:hint="default"/>
      </w:rPr>
    </w:lvl>
    <w:lvl w:ilvl="5" w:tplc="04070005" w:tentative="1">
      <w:start w:val="1"/>
      <w:numFmt w:val="bullet"/>
      <w:lvlText w:val=""/>
      <w:lvlJc w:val="left"/>
      <w:pPr>
        <w:ind w:left="4817" w:hanging="360"/>
      </w:pPr>
      <w:rPr>
        <w:rFonts w:ascii="Wingdings" w:hAnsi="Wingdings" w:hint="default"/>
      </w:rPr>
    </w:lvl>
    <w:lvl w:ilvl="6" w:tplc="04070001" w:tentative="1">
      <w:start w:val="1"/>
      <w:numFmt w:val="bullet"/>
      <w:lvlText w:val=""/>
      <w:lvlJc w:val="left"/>
      <w:pPr>
        <w:ind w:left="5537" w:hanging="360"/>
      </w:pPr>
      <w:rPr>
        <w:rFonts w:ascii="Symbol" w:hAnsi="Symbol" w:hint="default"/>
      </w:rPr>
    </w:lvl>
    <w:lvl w:ilvl="7" w:tplc="04070003" w:tentative="1">
      <w:start w:val="1"/>
      <w:numFmt w:val="bullet"/>
      <w:lvlText w:val="o"/>
      <w:lvlJc w:val="left"/>
      <w:pPr>
        <w:ind w:left="6257" w:hanging="360"/>
      </w:pPr>
      <w:rPr>
        <w:rFonts w:ascii="Courier New" w:hAnsi="Courier New" w:cs="Courier New" w:hint="default"/>
      </w:rPr>
    </w:lvl>
    <w:lvl w:ilvl="8" w:tplc="04070005" w:tentative="1">
      <w:start w:val="1"/>
      <w:numFmt w:val="bullet"/>
      <w:lvlText w:val=""/>
      <w:lvlJc w:val="left"/>
      <w:pPr>
        <w:ind w:left="6977" w:hanging="360"/>
      </w:pPr>
      <w:rPr>
        <w:rFonts w:ascii="Wingdings" w:hAnsi="Wingdings" w:hint="default"/>
      </w:rPr>
    </w:lvl>
  </w:abstractNum>
  <w:abstractNum w:abstractNumId="9" w15:restartNumberingAfterBreak="0">
    <w:nsid w:val="37382772"/>
    <w:multiLevelType w:val="hybridMultilevel"/>
    <w:tmpl w:val="E8300D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C6C3EDB"/>
    <w:multiLevelType w:val="hybridMultilevel"/>
    <w:tmpl w:val="13A4F446"/>
    <w:lvl w:ilvl="0" w:tplc="8C8685C4">
      <w:start w:val="3"/>
      <w:numFmt w:val="lowerLetter"/>
      <w:lvlRestart w:val="0"/>
      <w:pStyle w:val="TextAufznbS2"/>
      <w:lvlText w:val="%1)"/>
      <w:lvlJc w:val="left"/>
      <w:pPr>
        <w:tabs>
          <w:tab w:val="num" w:pos="357"/>
        </w:tabs>
        <w:ind w:left="357" w:hanging="357"/>
      </w:pPr>
      <w:rPr>
        <w:rFonts w:hint="default"/>
      </w:rPr>
    </w:lvl>
    <w:lvl w:ilvl="1" w:tplc="04070019" w:tentative="1">
      <w:start w:val="1"/>
      <w:numFmt w:val="lowerLetter"/>
      <w:lvlText w:val="%2."/>
      <w:lvlJc w:val="left"/>
      <w:pPr>
        <w:tabs>
          <w:tab w:val="num" w:pos="1083"/>
        </w:tabs>
        <w:ind w:left="1083" w:hanging="360"/>
      </w:pPr>
    </w:lvl>
    <w:lvl w:ilvl="2" w:tplc="0407001B" w:tentative="1">
      <w:start w:val="1"/>
      <w:numFmt w:val="lowerRoman"/>
      <w:lvlText w:val="%3."/>
      <w:lvlJc w:val="right"/>
      <w:pPr>
        <w:tabs>
          <w:tab w:val="num" w:pos="1803"/>
        </w:tabs>
        <w:ind w:left="1803" w:hanging="180"/>
      </w:pPr>
    </w:lvl>
    <w:lvl w:ilvl="3" w:tplc="0407000F" w:tentative="1">
      <w:start w:val="1"/>
      <w:numFmt w:val="decimal"/>
      <w:lvlText w:val="%4."/>
      <w:lvlJc w:val="left"/>
      <w:pPr>
        <w:tabs>
          <w:tab w:val="num" w:pos="2523"/>
        </w:tabs>
        <w:ind w:left="2523" w:hanging="360"/>
      </w:pPr>
    </w:lvl>
    <w:lvl w:ilvl="4" w:tplc="04070019" w:tentative="1">
      <w:start w:val="1"/>
      <w:numFmt w:val="lowerLetter"/>
      <w:lvlText w:val="%5."/>
      <w:lvlJc w:val="left"/>
      <w:pPr>
        <w:tabs>
          <w:tab w:val="num" w:pos="3243"/>
        </w:tabs>
        <w:ind w:left="3243" w:hanging="360"/>
      </w:pPr>
    </w:lvl>
    <w:lvl w:ilvl="5" w:tplc="0407001B" w:tentative="1">
      <w:start w:val="1"/>
      <w:numFmt w:val="lowerRoman"/>
      <w:lvlText w:val="%6."/>
      <w:lvlJc w:val="right"/>
      <w:pPr>
        <w:tabs>
          <w:tab w:val="num" w:pos="3963"/>
        </w:tabs>
        <w:ind w:left="3963" w:hanging="180"/>
      </w:pPr>
    </w:lvl>
    <w:lvl w:ilvl="6" w:tplc="0407000F" w:tentative="1">
      <w:start w:val="1"/>
      <w:numFmt w:val="decimal"/>
      <w:lvlText w:val="%7."/>
      <w:lvlJc w:val="left"/>
      <w:pPr>
        <w:tabs>
          <w:tab w:val="num" w:pos="4683"/>
        </w:tabs>
        <w:ind w:left="4683" w:hanging="360"/>
      </w:pPr>
    </w:lvl>
    <w:lvl w:ilvl="7" w:tplc="04070019" w:tentative="1">
      <w:start w:val="1"/>
      <w:numFmt w:val="lowerLetter"/>
      <w:lvlText w:val="%8."/>
      <w:lvlJc w:val="left"/>
      <w:pPr>
        <w:tabs>
          <w:tab w:val="num" w:pos="5403"/>
        </w:tabs>
        <w:ind w:left="5403" w:hanging="360"/>
      </w:pPr>
    </w:lvl>
    <w:lvl w:ilvl="8" w:tplc="0407001B" w:tentative="1">
      <w:start w:val="1"/>
      <w:numFmt w:val="lowerRoman"/>
      <w:lvlText w:val="%9."/>
      <w:lvlJc w:val="right"/>
      <w:pPr>
        <w:tabs>
          <w:tab w:val="num" w:pos="6123"/>
        </w:tabs>
        <w:ind w:left="6123" w:hanging="180"/>
      </w:pPr>
    </w:lvl>
  </w:abstractNum>
  <w:abstractNum w:abstractNumId="11" w15:restartNumberingAfterBreak="0">
    <w:nsid w:val="3CF94CB2"/>
    <w:multiLevelType w:val="hybridMultilevel"/>
    <w:tmpl w:val="05E8111A"/>
    <w:lvl w:ilvl="0" w:tplc="04070001">
      <w:start w:val="1"/>
      <w:numFmt w:val="bullet"/>
      <w:lvlText w:val=""/>
      <w:lvlJc w:val="left"/>
      <w:pPr>
        <w:ind w:left="723" w:hanging="360"/>
      </w:pPr>
      <w:rPr>
        <w:rFonts w:ascii="Symbol" w:hAnsi="Symbol"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2" w15:restartNumberingAfterBreak="0">
    <w:nsid w:val="3EE05EF7"/>
    <w:multiLevelType w:val="hybridMultilevel"/>
    <w:tmpl w:val="A5B69FE0"/>
    <w:lvl w:ilvl="0" w:tplc="F06E4E70">
      <w:numFmt w:val="bullet"/>
      <w:lvlText w:val="-"/>
      <w:lvlJc w:val="left"/>
      <w:pPr>
        <w:ind w:left="510" w:hanging="360"/>
      </w:pPr>
      <w:rPr>
        <w:rFonts w:ascii="Arial" w:eastAsia="Times New Roman" w:hAnsi="Arial" w:cs="Arial" w:hint="default"/>
      </w:rPr>
    </w:lvl>
    <w:lvl w:ilvl="1" w:tplc="04070003" w:tentative="1">
      <w:start w:val="1"/>
      <w:numFmt w:val="bullet"/>
      <w:lvlText w:val="o"/>
      <w:lvlJc w:val="left"/>
      <w:pPr>
        <w:ind w:left="1230" w:hanging="360"/>
      </w:pPr>
      <w:rPr>
        <w:rFonts w:ascii="Courier New" w:hAnsi="Courier New" w:cs="Courier New" w:hint="default"/>
      </w:rPr>
    </w:lvl>
    <w:lvl w:ilvl="2" w:tplc="04070005" w:tentative="1">
      <w:start w:val="1"/>
      <w:numFmt w:val="bullet"/>
      <w:lvlText w:val=""/>
      <w:lvlJc w:val="left"/>
      <w:pPr>
        <w:ind w:left="1950" w:hanging="360"/>
      </w:pPr>
      <w:rPr>
        <w:rFonts w:ascii="Wingdings" w:hAnsi="Wingdings" w:hint="default"/>
      </w:rPr>
    </w:lvl>
    <w:lvl w:ilvl="3" w:tplc="04070001" w:tentative="1">
      <w:start w:val="1"/>
      <w:numFmt w:val="bullet"/>
      <w:lvlText w:val=""/>
      <w:lvlJc w:val="left"/>
      <w:pPr>
        <w:ind w:left="2670" w:hanging="360"/>
      </w:pPr>
      <w:rPr>
        <w:rFonts w:ascii="Symbol" w:hAnsi="Symbol" w:hint="default"/>
      </w:rPr>
    </w:lvl>
    <w:lvl w:ilvl="4" w:tplc="04070003" w:tentative="1">
      <w:start w:val="1"/>
      <w:numFmt w:val="bullet"/>
      <w:lvlText w:val="o"/>
      <w:lvlJc w:val="left"/>
      <w:pPr>
        <w:ind w:left="3390" w:hanging="360"/>
      </w:pPr>
      <w:rPr>
        <w:rFonts w:ascii="Courier New" w:hAnsi="Courier New" w:cs="Courier New" w:hint="default"/>
      </w:rPr>
    </w:lvl>
    <w:lvl w:ilvl="5" w:tplc="04070005" w:tentative="1">
      <w:start w:val="1"/>
      <w:numFmt w:val="bullet"/>
      <w:lvlText w:val=""/>
      <w:lvlJc w:val="left"/>
      <w:pPr>
        <w:ind w:left="4110" w:hanging="360"/>
      </w:pPr>
      <w:rPr>
        <w:rFonts w:ascii="Wingdings" w:hAnsi="Wingdings" w:hint="default"/>
      </w:rPr>
    </w:lvl>
    <w:lvl w:ilvl="6" w:tplc="04070001" w:tentative="1">
      <w:start w:val="1"/>
      <w:numFmt w:val="bullet"/>
      <w:lvlText w:val=""/>
      <w:lvlJc w:val="left"/>
      <w:pPr>
        <w:ind w:left="4830" w:hanging="360"/>
      </w:pPr>
      <w:rPr>
        <w:rFonts w:ascii="Symbol" w:hAnsi="Symbol" w:hint="default"/>
      </w:rPr>
    </w:lvl>
    <w:lvl w:ilvl="7" w:tplc="04070003" w:tentative="1">
      <w:start w:val="1"/>
      <w:numFmt w:val="bullet"/>
      <w:lvlText w:val="o"/>
      <w:lvlJc w:val="left"/>
      <w:pPr>
        <w:ind w:left="5550" w:hanging="360"/>
      </w:pPr>
      <w:rPr>
        <w:rFonts w:ascii="Courier New" w:hAnsi="Courier New" w:cs="Courier New" w:hint="default"/>
      </w:rPr>
    </w:lvl>
    <w:lvl w:ilvl="8" w:tplc="04070005" w:tentative="1">
      <w:start w:val="1"/>
      <w:numFmt w:val="bullet"/>
      <w:lvlText w:val=""/>
      <w:lvlJc w:val="left"/>
      <w:pPr>
        <w:ind w:left="6270" w:hanging="360"/>
      </w:pPr>
      <w:rPr>
        <w:rFonts w:ascii="Wingdings" w:hAnsi="Wingdings" w:hint="default"/>
      </w:rPr>
    </w:lvl>
  </w:abstractNum>
  <w:abstractNum w:abstractNumId="13" w15:restartNumberingAfterBreak="0">
    <w:nsid w:val="402A5796"/>
    <w:multiLevelType w:val="hybridMultilevel"/>
    <w:tmpl w:val="A1BC5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1D0D7F"/>
    <w:multiLevelType w:val="hybridMultilevel"/>
    <w:tmpl w:val="3B942A20"/>
    <w:lvl w:ilvl="0" w:tplc="D41A919E">
      <w:start w:val="1"/>
      <w:numFmt w:val="lowerLetter"/>
      <w:lvlText w:val="%1)"/>
      <w:lvlJc w:val="left"/>
      <w:pPr>
        <w:tabs>
          <w:tab w:val="num" w:pos="360"/>
        </w:tabs>
        <w:ind w:left="360" w:hanging="360"/>
      </w:pPr>
      <w:rPr>
        <w:rFonts w:hint="default"/>
      </w:rPr>
    </w:lvl>
    <w:lvl w:ilvl="1" w:tplc="5BFC32E0">
      <w:start w:val="1"/>
      <w:numFmt w:val="bullet"/>
      <w:lvlText w:val="-"/>
      <w:lvlJc w:val="left"/>
      <w:pPr>
        <w:tabs>
          <w:tab w:val="num" w:pos="1080"/>
        </w:tabs>
        <w:ind w:left="1080" w:hanging="360"/>
      </w:pPr>
      <w:rPr>
        <w:rFonts w:ascii="Times New Roman" w:eastAsia="Times New Roman" w:hAnsi="Times New Roman" w:cs="Times New Roman"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5ABD3CFB"/>
    <w:multiLevelType w:val="hybridMultilevel"/>
    <w:tmpl w:val="A46C684E"/>
    <w:lvl w:ilvl="0" w:tplc="91AC0A32">
      <w:numFmt w:val="bullet"/>
      <w:lvlText w:val="-"/>
      <w:lvlJc w:val="left"/>
      <w:pPr>
        <w:ind w:left="504" w:hanging="360"/>
      </w:pPr>
      <w:rPr>
        <w:rFonts w:ascii="Arial" w:eastAsia="Times New Roman" w:hAnsi="Arial" w:cs="Arial" w:hint="default"/>
      </w:rPr>
    </w:lvl>
    <w:lvl w:ilvl="1" w:tplc="04070003" w:tentative="1">
      <w:start w:val="1"/>
      <w:numFmt w:val="bullet"/>
      <w:lvlText w:val="o"/>
      <w:lvlJc w:val="left"/>
      <w:pPr>
        <w:ind w:left="1224" w:hanging="360"/>
      </w:pPr>
      <w:rPr>
        <w:rFonts w:ascii="Courier New" w:hAnsi="Courier New" w:cs="Courier New" w:hint="default"/>
      </w:rPr>
    </w:lvl>
    <w:lvl w:ilvl="2" w:tplc="04070005" w:tentative="1">
      <w:start w:val="1"/>
      <w:numFmt w:val="bullet"/>
      <w:lvlText w:val=""/>
      <w:lvlJc w:val="left"/>
      <w:pPr>
        <w:ind w:left="1944" w:hanging="360"/>
      </w:pPr>
      <w:rPr>
        <w:rFonts w:ascii="Wingdings" w:hAnsi="Wingdings" w:hint="default"/>
      </w:rPr>
    </w:lvl>
    <w:lvl w:ilvl="3" w:tplc="04070001" w:tentative="1">
      <w:start w:val="1"/>
      <w:numFmt w:val="bullet"/>
      <w:lvlText w:val=""/>
      <w:lvlJc w:val="left"/>
      <w:pPr>
        <w:ind w:left="2664" w:hanging="360"/>
      </w:pPr>
      <w:rPr>
        <w:rFonts w:ascii="Symbol" w:hAnsi="Symbol" w:hint="default"/>
      </w:rPr>
    </w:lvl>
    <w:lvl w:ilvl="4" w:tplc="04070003" w:tentative="1">
      <w:start w:val="1"/>
      <w:numFmt w:val="bullet"/>
      <w:lvlText w:val="o"/>
      <w:lvlJc w:val="left"/>
      <w:pPr>
        <w:ind w:left="3384" w:hanging="360"/>
      </w:pPr>
      <w:rPr>
        <w:rFonts w:ascii="Courier New" w:hAnsi="Courier New" w:cs="Courier New" w:hint="default"/>
      </w:rPr>
    </w:lvl>
    <w:lvl w:ilvl="5" w:tplc="04070005" w:tentative="1">
      <w:start w:val="1"/>
      <w:numFmt w:val="bullet"/>
      <w:lvlText w:val=""/>
      <w:lvlJc w:val="left"/>
      <w:pPr>
        <w:ind w:left="4104" w:hanging="360"/>
      </w:pPr>
      <w:rPr>
        <w:rFonts w:ascii="Wingdings" w:hAnsi="Wingdings" w:hint="default"/>
      </w:rPr>
    </w:lvl>
    <w:lvl w:ilvl="6" w:tplc="04070001" w:tentative="1">
      <w:start w:val="1"/>
      <w:numFmt w:val="bullet"/>
      <w:lvlText w:val=""/>
      <w:lvlJc w:val="left"/>
      <w:pPr>
        <w:ind w:left="4824" w:hanging="360"/>
      </w:pPr>
      <w:rPr>
        <w:rFonts w:ascii="Symbol" w:hAnsi="Symbol" w:hint="default"/>
      </w:rPr>
    </w:lvl>
    <w:lvl w:ilvl="7" w:tplc="04070003" w:tentative="1">
      <w:start w:val="1"/>
      <w:numFmt w:val="bullet"/>
      <w:lvlText w:val="o"/>
      <w:lvlJc w:val="left"/>
      <w:pPr>
        <w:ind w:left="5544" w:hanging="360"/>
      </w:pPr>
      <w:rPr>
        <w:rFonts w:ascii="Courier New" w:hAnsi="Courier New" w:cs="Courier New" w:hint="default"/>
      </w:rPr>
    </w:lvl>
    <w:lvl w:ilvl="8" w:tplc="04070005" w:tentative="1">
      <w:start w:val="1"/>
      <w:numFmt w:val="bullet"/>
      <w:lvlText w:val=""/>
      <w:lvlJc w:val="left"/>
      <w:pPr>
        <w:ind w:left="6264" w:hanging="360"/>
      </w:pPr>
      <w:rPr>
        <w:rFonts w:ascii="Wingdings" w:hAnsi="Wingdings" w:hint="default"/>
      </w:rPr>
    </w:lvl>
  </w:abstractNum>
  <w:abstractNum w:abstractNumId="16" w15:restartNumberingAfterBreak="0">
    <w:nsid w:val="5F080413"/>
    <w:multiLevelType w:val="hybridMultilevel"/>
    <w:tmpl w:val="BBDA2F08"/>
    <w:lvl w:ilvl="0" w:tplc="D9DEAF56">
      <w:start w:val="1"/>
      <w:numFmt w:val="bullet"/>
      <w:lvlText w:val=""/>
      <w:lvlJc w:val="left"/>
      <w:pPr>
        <w:tabs>
          <w:tab w:val="num" w:pos="2160"/>
        </w:tabs>
        <w:ind w:left="21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990BCA"/>
    <w:multiLevelType w:val="hybridMultilevel"/>
    <w:tmpl w:val="EE12A852"/>
    <w:lvl w:ilvl="0" w:tplc="D6B457FA">
      <w:start w:val="1"/>
      <w:numFmt w:val="bullet"/>
      <w:pStyle w:val="BeschlussAutoren"/>
      <w:lvlText w:val=""/>
      <w:lvlJc w:val="left"/>
      <w:pPr>
        <w:tabs>
          <w:tab w:val="num" w:pos="1800"/>
        </w:tabs>
        <w:ind w:left="1440" w:hanging="360"/>
      </w:pPr>
      <w:rPr>
        <w:rFonts w:ascii="Symbol" w:hAnsi="Symbol" w:hint="default"/>
        <w:b/>
        <w:i w:val="0"/>
        <w:color w:val="339966"/>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0B07FD"/>
    <w:multiLevelType w:val="hybridMultilevel"/>
    <w:tmpl w:val="FE8276F2"/>
    <w:lvl w:ilvl="0" w:tplc="0407000F">
      <w:start w:val="1"/>
      <w:numFmt w:val="decimal"/>
      <w:lvlText w:val="%1."/>
      <w:lvlJc w:val="left"/>
      <w:pPr>
        <w:tabs>
          <w:tab w:val="num" w:pos="720"/>
        </w:tabs>
        <w:ind w:left="720" w:hanging="360"/>
      </w:pPr>
      <w:rPr>
        <w:rFonts w:hint="default"/>
      </w:rPr>
    </w:lvl>
    <w:lvl w:ilvl="1" w:tplc="AE244BC4">
      <w:start w:val="2"/>
      <w:numFmt w:val="bullet"/>
      <w:lvlText w:val="-"/>
      <w:lvlJc w:val="left"/>
      <w:pPr>
        <w:tabs>
          <w:tab w:val="num" w:pos="1440"/>
        </w:tabs>
        <w:ind w:left="1440" w:hanging="360"/>
      </w:pPr>
      <w:rPr>
        <w:rFonts w:ascii="Times New Roman" w:eastAsia="Times New Roman" w:hAnsi="Times New Roman" w:cs="Times New Roman" w:hint="default"/>
      </w:rPr>
    </w:lvl>
    <w:lvl w:ilvl="2" w:tplc="388E314E">
      <w:start w:val="1"/>
      <w:numFmt w:val="lowerLetter"/>
      <w:lvlText w:val="%3)"/>
      <w:lvlJc w:val="left"/>
      <w:pPr>
        <w:tabs>
          <w:tab w:val="num" w:pos="2340"/>
        </w:tabs>
        <w:ind w:left="2340" w:hanging="360"/>
      </w:pPr>
      <w:rPr>
        <w:rFonts w:hint="default"/>
      </w:rPr>
    </w:lvl>
    <w:lvl w:ilvl="3" w:tplc="D9DEAF56">
      <w:start w:val="1"/>
      <w:numFmt w:val="bullet"/>
      <w:lvlText w:val=""/>
      <w:lvlJc w:val="left"/>
      <w:pPr>
        <w:tabs>
          <w:tab w:val="num" w:pos="2880"/>
        </w:tabs>
        <w:ind w:left="2880" w:hanging="360"/>
      </w:pPr>
      <w:rPr>
        <w:rFonts w:ascii="Wingdings" w:hAnsi="Wingding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B7D7979"/>
    <w:multiLevelType w:val="hybridMultilevel"/>
    <w:tmpl w:val="E0BC0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6"/>
  </w:num>
  <w:num w:numId="4">
    <w:abstractNumId w:val="3"/>
  </w:num>
  <w:num w:numId="5">
    <w:abstractNumId w:val="16"/>
  </w:num>
  <w:num w:numId="6">
    <w:abstractNumId w:val="14"/>
  </w:num>
  <w:num w:numId="7">
    <w:abstractNumId w:val="10"/>
  </w:num>
  <w:num w:numId="8">
    <w:abstractNumId w:val="15"/>
  </w:num>
  <w:num w:numId="9">
    <w:abstractNumId w:val="9"/>
  </w:num>
  <w:num w:numId="10">
    <w:abstractNumId w:val="8"/>
  </w:num>
  <w:num w:numId="11">
    <w:abstractNumId w:val="4"/>
  </w:num>
  <w:num w:numId="12">
    <w:abstractNumId w:val="13"/>
  </w:num>
  <w:num w:numId="13">
    <w:abstractNumId w:val="1"/>
  </w:num>
  <w:num w:numId="14">
    <w:abstractNumId w:val="7"/>
  </w:num>
  <w:num w:numId="15">
    <w:abstractNumId w:val="11"/>
  </w:num>
  <w:num w:numId="16">
    <w:abstractNumId w:val="19"/>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8"/>
  </w:num>
  <w:num w:numId="31">
    <w:abstractNumId w:val="6"/>
  </w:num>
  <w:num w:numId="32">
    <w:abstractNumId w:val="6"/>
  </w:num>
  <w:num w:numId="33">
    <w:abstractNumId w:val="12"/>
  </w:num>
  <w:num w:numId="34">
    <w:abstractNumId w:val="2"/>
  </w:num>
  <w:num w:numId="35">
    <w:abstractNumId w:val="5"/>
  </w:num>
  <w:num w:numId="36">
    <w:abstractNumId w:val="6"/>
  </w:num>
  <w:num w:numId="3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noPunctuationKerning/>
  <w:characterSpacingControl w:val="doNotCompress"/>
  <w:hdrShapeDefaults>
    <o:shapedefaults v:ext="edit" spidmax="253953">
      <o:colormru v:ext="edit" colors="#eaeaea,#ddd,#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colormru v:ext="edit" colors="#eaeaea,#ddd,#f8f8f8"/>
    </o:shapedefaults>
    <o:shapelayout v:ext="edit">
      <o:idmap v:ext="edit" data="1"/>
    </o:shapelayout>
  </w:shapeDefaults>
  <w:decimalSymbol w:val=","/>
  <w:listSeparator w:val=";"/>
  <w15:docId w15:val="{DECFCB54-F958-401F-B16F-814B8A62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before="120" w:after="120"/>
      <w:jc w:val="both"/>
    </w:pPr>
    <w:rPr>
      <w:rFonts w:ascii="Arial" w:hAnsi="Arial"/>
      <w:sz w:val="22"/>
      <w:szCs w:val="24"/>
    </w:rPr>
  </w:style>
  <w:style w:type="paragraph" w:styleId="berschrift1">
    <w:name w:val="heading 1"/>
    <w:basedOn w:val="Standard"/>
    <w:next w:val="Standard"/>
    <w:qFormat/>
    <w:pPr>
      <w:keepNext/>
      <w:spacing w:before="360"/>
      <w:outlineLvl w:val="0"/>
    </w:pPr>
    <w:rPr>
      <w:rFonts w:ascii="Arial Fett" w:hAnsi="Arial Fett" w:cs="Arial"/>
      <w:b/>
      <w:bCs/>
      <w:kern w:val="32"/>
      <w:sz w:val="32"/>
      <w:szCs w:val="32"/>
    </w:rPr>
  </w:style>
  <w:style w:type="paragraph" w:styleId="berschrift2">
    <w:name w:val="heading 2"/>
    <w:basedOn w:val="Standard"/>
    <w:next w:val="Standard"/>
    <w:qFormat/>
    <w:pPr>
      <w:keepNext/>
      <w:outlineLvl w:val="1"/>
    </w:pPr>
    <w:rPr>
      <w:rFonts w:ascii="Arial Fett" w:hAnsi="Arial Fett" w:cs="Arial"/>
      <w:b/>
      <w:bCs/>
      <w:iCs/>
      <w:color w:val="000080"/>
      <w:szCs w:val="28"/>
      <w14:shadow w14:blurRad="50800" w14:dist="38100" w14:dir="2700000" w14:sx="100000" w14:sy="100000" w14:kx="0" w14:ky="0" w14:algn="tl">
        <w14:srgbClr w14:val="000000">
          <w14:alpha w14:val="60000"/>
        </w14:srgbClr>
      </w14:shadow>
    </w:rPr>
  </w:style>
  <w:style w:type="paragraph" w:styleId="berschrift3">
    <w:name w:val="heading 3"/>
    <w:basedOn w:val="Standard"/>
    <w:next w:val="Standard"/>
    <w:qFormat/>
    <w:pPr>
      <w:keepNext/>
      <w:outlineLvl w:val="2"/>
    </w:pPr>
    <w:rPr>
      <w:rFonts w:ascii="Arial Fett" w:hAnsi="Arial Fett"/>
      <w:b/>
      <w:b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ziffer">
    <w:name w:val="Randziffer"/>
    <w:basedOn w:val="Standard"/>
    <w:pPr>
      <w:numPr>
        <w:numId w:val="3"/>
      </w:numPr>
    </w:pPr>
    <w:rPr>
      <w:rFonts w:cs="Arial"/>
    </w:rPr>
  </w:style>
  <w:style w:type="paragraph" w:styleId="Verzeichnis3">
    <w:name w:val="toc 3"/>
    <w:basedOn w:val="Standard"/>
    <w:next w:val="Standard"/>
    <w:autoRedefine/>
    <w:semiHidden/>
    <w:pPr>
      <w:tabs>
        <w:tab w:val="left" w:pos="1200"/>
        <w:tab w:val="right" w:leader="dot" w:pos="8625"/>
      </w:tabs>
      <w:ind w:left="992" w:right="567" w:hanging="425"/>
    </w:pPr>
    <w:rPr>
      <w:noProof/>
    </w:rPr>
  </w:style>
  <w:style w:type="paragraph" w:customStyle="1" w:styleId="BeschlussAutoren">
    <w:name w:val="Beschluss Autoren"/>
    <w:basedOn w:val="Standard"/>
    <w:pPr>
      <w:numPr>
        <w:numId w:val="1"/>
      </w:numPr>
      <w:spacing w:before="40" w:after="40"/>
    </w:pPr>
    <w:rPr>
      <w:rFonts w:cs="Arial"/>
      <w:bCs/>
      <w:color w:val="339966"/>
    </w:rPr>
  </w:style>
  <w:style w:type="paragraph" w:styleId="Aufzhlungszeichen">
    <w:name w:val="List Bullet"/>
    <w:basedOn w:val="Standard"/>
    <w:autoRedefine/>
    <w:pPr>
      <w:numPr>
        <w:numId w:val="2"/>
      </w:numPr>
      <w:spacing w:after="60"/>
    </w:pPr>
  </w:style>
  <w:style w:type="paragraph" w:customStyle="1" w:styleId="Abbildungstitel">
    <w:name w:val="Abbildungstitel"/>
    <w:basedOn w:val="Standard"/>
    <w:pPr>
      <w:spacing w:before="40"/>
      <w:jc w:val="center"/>
    </w:pPr>
    <w:rPr>
      <w:b/>
    </w:rPr>
  </w:style>
  <w:style w:type="paragraph" w:styleId="Titel">
    <w:name w:val="Title"/>
    <w:basedOn w:val="Standard"/>
    <w:qFormat/>
    <w:pPr>
      <w:jc w:val="center"/>
    </w:pPr>
    <w:rPr>
      <w:rFonts w:cs="Arial"/>
      <w:b/>
      <w:sz w:val="32"/>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pPr>
      <w:autoSpaceDE w:val="0"/>
      <w:autoSpaceDN w:val="0"/>
      <w:adjustRightInd w:val="0"/>
    </w:pPr>
    <w:rPr>
      <w:rFonts w:cs="Arial"/>
    </w:rPr>
  </w:style>
  <w:style w:type="paragraph" w:styleId="Verzeichnis1">
    <w:name w:val="toc 1"/>
    <w:basedOn w:val="Standard"/>
    <w:next w:val="Standard"/>
    <w:autoRedefine/>
    <w:uiPriority w:val="39"/>
    <w:pPr>
      <w:tabs>
        <w:tab w:val="right" w:leader="dot" w:pos="9060"/>
      </w:tabs>
      <w:spacing w:before="240"/>
      <w:ind w:right="737"/>
    </w:pPr>
    <w:rPr>
      <w:rFonts w:cs="Arial"/>
      <w:noProof/>
      <w:sz w:val="28"/>
    </w:rPr>
  </w:style>
  <w:style w:type="paragraph" w:styleId="Verzeichnis2">
    <w:name w:val="toc 2"/>
    <w:basedOn w:val="Standard"/>
    <w:next w:val="Standard"/>
    <w:autoRedefine/>
    <w:semiHidden/>
    <w:pPr>
      <w:tabs>
        <w:tab w:val="right" w:leader="dot" w:pos="9060"/>
      </w:tabs>
      <w:spacing w:before="60"/>
      <w:ind w:left="901" w:right="851" w:hanging="663"/>
    </w:pPr>
    <w:rPr>
      <w:noProof/>
      <w:szCs w:val="22"/>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uiPriority w:val="99"/>
    <w:rPr>
      <w:color w:val="0000FF"/>
      <w:u w:val="single"/>
    </w:rPr>
  </w:style>
  <w:style w:type="paragraph" w:styleId="Aufzhlungszeichen2">
    <w:name w:val="List Bullet 2"/>
    <w:basedOn w:val="Standard"/>
    <w:pPr>
      <w:numPr>
        <w:numId w:val="4"/>
      </w:numPr>
    </w:pPr>
  </w:style>
  <w:style w:type="paragraph" w:styleId="Textkrper-Zeileneinzug">
    <w:name w:val="Body Text Indent"/>
    <w:basedOn w:val="Standard"/>
    <w:pPr>
      <w:autoSpaceDE w:val="0"/>
      <w:autoSpaceDN w:val="0"/>
      <w:adjustRightInd w:val="0"/>
      <w:ind w:left="360" w:hanging="360"/>
    </w:pPr>
    <w:rPr>
      <w:rFonts w:cs="Arial"/>
    </w:rPr>
  </w:style>
  <w:style w:type="paragraph" w:styleId="Textkrper-Einzug2">
    <w:name w:val="Body Text Indent 2"/>
    <w:basedOn w:val="Standard"/>
    <w:pPr>
      <w:autoSpaceDE w:val="0"/>
      <w:autoSpaceDN w:val="0"/>
      <w:adjustRightInd w:val="0"/>
      <w:ind w:left="360"/>
    </w:pPr>
    <w:rPr>
      <w:rFonts w:cs="Arial"/>
    </w:rPr>
  </w:style>
  <w:style w:type="paragraph" w:styleId="Textkrper-Einzug3">
    <w:name w:val="Body Text Indent 3"/>
    <w:basedOn w:val="Standard"/>
    <w:pPr>
      <w:autoSpaceDE w:val="0"/>
      <w:autoSpaceDN w:val="0"/>
      <w:adjustRightInd w:val="0"/>
      <w:ind w:left="360" w:hanging="360"/>
    </w:pPr>
  </w:style>
  <w:style w:type="character" w:styleId="BesuchterLink">
    <w:name w:val="FollowedHyperlink"/>
    <w:basedOn w:val="Absatz-Standardschriftart"/>
    <w:rPr>
      <w:color w:val="800080"/>
      <w:u w:val="single"/>
    </w:rPr>
  </w:style>
  <w:style w:type="paragraph" w:customStyle="1" w:styleId="DefaultText">
    <w:name w:val="Default Text"/>
    <w:basedOn w:val="Standard"/>
    <w:pPr>
      <w:spacing w:line="240" w:lineRule="atLeast"/>
    </w:pPr>
    <w:rPr>
      <w:szCs w:val="20"/>
    </w:rPr>
  </w:style>
  <w:style w:type="paragraph" w:customStyle="1" w:styleId="xl21">
    <w:name w:val="xl21"/>
    <w:basedOn w:val="Standard"/>
    <w:pPr>
      <w:pBdr>
        <w:bottom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styleId="Funotentext">
    <w:name w:val="footnote text"/>
    <w:basedOn w:val="Standard"/>
    <w:link w:val="FunotentextZchn"/>
    <w:semiHidden/>
    <w:pPr>
      <w:spacing w:before="40" w:after="40"/>
      <w:ind w:left="284" w:hanging="284"/>
    </w:pPr>
    <w:rPr>
      <w:sz w:val="18"/>
      <w:szCs w:val="20"/>
    </w:rPr>
  </w:style>
  <w:style w:type="character" w:styleId="Funotenzeichen">
    <w:name w:val="footnote reference"/>
    <w:basedOn w:val="Absatz-Standardschriftart"/>
    <w:semiHidden/>
    <w:rPr>
      <w:vertAlign w:val="superscript"/>
    </w:rPr>
  </w:style>
  <w:style w:type="paragraph" w:styleId="Beschriftung">
    <w:name w:val="caption"/>
    <w:basedOn w:val="Standard"/>
    <w:next w:val="Standard"/>
    <w:qFormat/>
    <w:pPr>
      <w:ind w:left="360" w:hanging="360"/>
    </w:pPr>
    <w:rPr>
      <w:b/>
      <w:bCs/>
    </w:rPr>
  </w:style>
  <w:style w:type="paragraph" w:styleId="Textkrper2">
    <w:name w:val="Body Text 2"/>
    <w:basedOn w:val="Standard"/>
  </w:style>
  <w:style w:type="paragraph" w:styleId="Textkrper3">
    <w:name w:val="Body Text 3"/>
    <w:basedOn w:val="Standard"/>
    <w:rPr>
      <w:sz w:val="18"/>
    </w:rPr>
  </w:style>
  <w:style w:type="character" w:customStyle="1" w:styleId="copy1">
    <w:name w:val="copy1"/>
    <w:basedOn w:val="Absatz-Standardschriftart"/>
    <w:rPr>
      <w:rFonts w:ascii="Verdana" w:hAnsi="Verdana" w:hint="default"/>
      <w:color w:val="616161"/>
      <w:sz w:val="13"/>
      <w:szCs w:val="13"/>
    </w:rPr>
  </w:style>
  <w:style w:type="paragraph" w:customStyle="1" w:styleId="StandardtextBlocksatz">
    <w:name w:val="Standardtext Blocksatz"/>
    <w:basedOn w:val="Standard"/>
    <w:rPr>
      <w:rFonts w:cs="Arial"/>
      <w:bCs/>
      <w:sz w:val="20"/>
    </w:rPr>
  </w:style>
  <w:style w:type="paragraph" w:customStyle="1" w:styleId="Standardtext">
    <w:name w:val="Standardtext"/>
    <w:basedOn w:val="Standard"/>
    <w:pPr>
      <w:jc w:val="left"/>
    </w:pPr>
    <w:rPr>
      <w:rFonts w:cs="Arial"/>
      <w:bCs/>
      <w:sz w:val="20"/>
    </w:rPr>
  </w:style>
  <w:style w:type="paragraph" w:styleId="Blocktext">
    <w:name w:val="Block Text"/>
    <w:basedOn w:val="Standard"/>
    <w:pPr>
      <w:tabs>
        <w:tab w:val="right" w:leader="dot" w:pos="4680"/>
      </w:tabs>
      <w:spacing w:before="20" w:after="20"/>
      <w:ind w:left="360" w:right="4570" w:hanging="290"/>
      <w:jc w:val="left"/>
    </w:pPr>
    <w:rPr>
      <w:sz w:val="18"/>
    </w:rPr>
  </w:style>
  <w:style w:type="paragraph" w:customStyle="1" w:styleId="TextAufznbS2">
    <w:name w:val="Text_Aufz_nbS2"/>
    <w:basedOn w:val="Standard"/>
    <w:pPr>
      <w:numPr>
        <w:numId w:val="7"/>
      </w:numPr>
    </w:p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table" w:styleId="HelleListe-Akzent3">
    <w:name w:val="Light List Accent 3"/>
    <w:basedOn w:val="NormaleTabelle"/>
    <w:uiPriority w:val="61"/>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
    <w:name w:val="Light List"/>
    <w:basedOn w:val="NormaleTabelle"/>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6">
    <w:name w:val="CM4+6"/>
    <w:basedOn w:val="Standard"/>
    <w:next w:val="Standard"/>
    <w:uiPriority w:val="99"/>
    <w:pPr>
      <w:autoSpaceDE w:val="0"/>
      <w:autoSpaceDN w:val="0"/>
      <w:adjustRightInd w:val="0"/>
      <w:spacing w:before="0" w:after="0"/>
      <w:jc w:val="left"/>
    </w:pPr>
    <w:rPr>
      <w:rFonts w:ascii="EUAlbertina" w:eastAsiaTheme="minorHAnsi" w:hAnsi="EUAlbertina" w:cstheme="minorBidi"/>
      <w:sz w:val="24"/>
      <w:lang w:eastAsia="en-US"/>
    </w:rPr>
  </w:style>
  <w:style w:type="paragraph" w:styleId="Endnotentext">
    <w:name w:val="endnote text"/>
    <w:basedOn w:val="Standard"/>
    <w:link w:val="EndnotentextZchn"/>
    <w:uiPriority w:val="99"/>
    <w:semiHidden/>
    <w:unhideWhenUsed/>
    <w:pPr>
      <w:spacing w:before="0" w:after="0"/>
    </w:pPr>
    <w:rPr>
      <w:sz w:val="20"/>
      <w:szCs w:val="20"/>
    </w:rPr>
  </w:style>
  <w:style w:type="character" w:customStyle="1" w:styleId="EndnotentextZchn">
    <w:name w:val="Endnotentext Zchn"/>
    <w:basedOn w:val="Absatz-Standardschriftart"/>
    <w:link w:val="Endnotentext"/>
    <w:uiPriority w:val="99"/>
    <w:semiHidden/>
    <w:rPr>
      <w:rFonts w:ascii="Arial" w:hAnsi="Arial"/>
    </w:rPr>
  </w:style>
  <w:style w:type="character" w:styleId="Endnotenzeichen">
    <w:name w:val="endnote reference"/>
    <w:basedOn w:val="Absatz-Standardschriftart"/>
    <w:uiPriority w:val="99"/>
    <w:semiHidden/>
    <w:unhideWhenUsed/>
    <w:rPr>
      <w:vertAlign w:val="superscript"/>
    </w:rPr>
  </w:style>
  <w:style w:type="character" w:customStyle="1" w:styleId="FunotentextZchn">
    <w:name w:val="Fußnotentext Zchn"/>
    <w:basedOn w:val="Absatz-Standardschriftart"/>
    <w:link w:val="Funotentext"/>
    <w:semiHidden/>
    <w:rPr>
      <w:rFonts w:ascii="Arial" w:hAnsi="Arial"/>
      <w:sz w:val="18"/>
    </w:rPr>
  </w:style>
  <w:style w:type="character" w:customStyle="1" w:styleId="FuzeileZchn">
    <w:name w:val="Fußzeile Zchn"/>
    <w:basedOn w:val="Absatz-Standardschriftart"/>
    <w:link w:val="Fuzeile"/>
    <w:uiPriority w:val="99"/>
    <w:rPr>
      <w:rFonts w:ascii="Arial" w:hAnsi="Arial"/>
      <w:sz w:val="22"/>
      <w:szCs w:val="24"/>
    </w:rPr>
  </w:style>
  <w:style w:type="table" w:customStyle="1" w:styleId="Tabellenraster1">
    <w:name w:val="Tabellenraster1"/>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0598">
      <w:bodyDiv w:val="1"/>
      <w:marLeft w:val="0"/>
      <w:marRight w:val="0"/>
      <w:marTop w:val="0"/>
      <w:marBottom w:val="0"/>
      <w:divBdr>
        <w:top w:val="none" w:sz="0" w:space="0" w:color="auto"/>
        <w:left w:val="none" w:sz="0" w:space="0" w:color="auto"/>
        <w:bottom w:val="none" w:sz="0" w:space="0" w:color="auto"/>
        <w:right w:val="none" w:sz="0" w:space="0" w:color="auto"/>
      </w:divBdr>
    </w:div>
    <w:div w:id="53353331">
      <w:bodyDiv w:val="1"/>
      <w:marLeft w:val="0"/>
      <w:marRight w:val="0"/>
      <w:marTop w:val="0"/>
      <w:marBottom w:val="0"/>
      <w:divBdr>
        <w:top w:val="none" w:sz="0" w:space="0" w:color="auto"/>
        <w:left w:val="none" w:sz="0" w:space="0" w:color="auto"/>
        <w:bottom w:val="none" w:sz="0" w:space="0" w:color="auto"/>
        <w:right w:val="none" w:sz="0" w:space="0" w:color="auto"/>
      </w:divBdr>
    </w:div>
    <w:div w:id="326053858">
      <w:bodyDiv w:val="1"/>
      <w:marLeft w:val="0"/>
      <w:marRight w:val="0"/>
      <w:marTop w:val="0"/>
      <w:marBottom w:val="0"/>
      <w:divBdr>
        <w:top w:val="none" w:sz="0" w:space="0" w:color="auto"/>
        <w:left w:val="none" w:sz="0" w:space="0" w:color="auto"/>
        <w:bottom w:val="none" w:sz="0" w:space="0" w:color="auto"/>
        <w:right w:val="none" w:sz="0" w:space="0" w:color="auto"/>
      </w:divBdr>
    </w:div>
    <w:div w:id="338312212">
      <w:bodyDiv w:val="1"/>
      <w:marLeft w:val="0"/>
      <w:marRight w:val="0"/>
      <w:marTop w:val="0"/>
      <w:marBottom w:val="0"/>
      <w:divBdr>
        <w:top w:val="none" w:sz="0" w:space="0" w:color="auto"/>
        <w:left w:val="none" w:sz="0" w:space="0" w:color="auto"/>
        <w:bottom w:val="none" w:sz="0" w:space="0" w:color="auto"/>
        <w:right w:val="none" w:sz="0" w:space="0" w:color="auto"/>
      </w:divBdr>
    </w:div>
    <w:div w:id="377432165">
      <w:bodyDiv w:val="1"/>
      <w:marLeft w:val="0"/>
      <w:marRight w:val="0"/>
      <w:marTop w:val="0"/>
      <w:marBottom w:val="0"/>
      <w:divBdr>
        <w:top w:val="none" w:sz="0" w:space="0" w:color="auto"/>
        <w:left w:val="none" w:sz="0" w:space="0" w:color="auto"/>
        <w:bottom w:val="none" w:sz="0" w:space="0" w:color="auto"/>
        <w:right w:val="none" w:sz="0" w:space="0" w:color="auto"/>
      </w:divBdr>
    </w:div>
    <w:div w:id="406458670">
      <w:bodyDiv w:val="1"/>
      <w:marLeft w:val="0"/>
      <w:marRight w:val="0"/>
      <w:marTop w:val="0"/>
      <w:marBottom w:val="0"/>
      <w:divBdr>
        <w:top w:val="none" w:sz="0" w:space="0" w:color="auto"/>
        <w:left w:val="none" w:sz="0" w:space="0" w:color="auto"/>
        <w:bottom w:val="none" w:sz="0" w:space="0" w:color="auto"/>
        <w:right w:val="none" w:sz="0" w:space="0" w:color="auto"/>
      </w:divBdr>
    </w:div>
    <w:div w:id="806045340">
      <w:bodyDiv w:val="1"/>
      <w:marLeft w:val="0"/>
      <w:marRight w:val="0"/>
      <w:marTop w:val="0"/>
      <w:marBottom w:val="0"/>
      <w:divBdr>
        <w:top w:val="none" w:sz="0" w:space="0" w:color="auto"/>
        <w:left w:val="none" w:sz="0" w:space="0" w:color="auto"/>
        <w:bottom w:val="none" w:sz="0" w:space="0" w:color="auto"/>
        <w:right w:val="none" w:sz="0" w:space="0" w:color="auto"/>
      </w:divBdr>
    </w:div>
    <w:div w:id="838038661">
      <w:bodyDiv w:val="1"/>
      <w:marLeft w:val="0"/>
      <w:marRight w:val="0"/>
      <w:marTop w:val="0"/>
      <w:marBottom w:val="0"/>
      <w:divBdr>
        <w:top w:val="none" w:sz="0" w:space="0" w:color="auto"/>
        <w:left w:val="none" w:sz="0" w:space="0" w:color="auto"/>
        <w:bottom w:val="none" w:sz="0" w:space="0" w:color="auto"/>
        <w:right w:val="none" w:sz="0" w:space="0" w:color="auto"/>
      </w:divBdr>
    </w:div>
    <w:div w:id="922569824">
      <w:bodyDiv w:val="1"/>
      <w:marLeft w:val="0"/>
      <w:marRight w:val="0"/>
      <w:marTop w:val="0"/>
      <w:marBottom w:val="0"/>
      <w:divBdr>
        <w:top w:val="none" w:sz="0" w:space="0" w:color="auto"/>
        <w:left w:val="none" w:sz="0" w:space="0" w:color="auto"/>
        <w:bottom w:val="none" w:sz="0" w:space="0" w:color="auto"/>
        <w:right w:val="none" w:sz="0" w:space="0" w:color="auto"/>
      </w:divBdr>
    </w:div>
    <w:div w:id="932204976">
      <w:bodyDiv w:val="1"/>
      <w:marLeft w:val="0"/>
      <w:marRight w:val="0"/>
      <w:marTop w:val="0"/>
      <w:marBottom w:val="0"/>
      <w:divBdr>
        <w:top w:val="none" w:sz="0" w:space="0" w:color="auto"/>
        <w:left w:val="none" w:sz="0" w:space="0" w:color="auto"/>
        <w:bottom w:val="none" w:sz="0" w:space="0" w:color="auto"/>
        <w:right w:val="none" w:sz="0" w:space="0" w:color="auto"/>
      </w:divBdr>
    </w:div>
    <w:div w:id="938021724">
      <w:bodyDiv w:val="1"/>
      <w:marLeft w:val="0"/>
      <w:marRight w:val="0"/>
      <w:marTop w:val="0"/>
      <w:marBottom w:val="0"/>
      <w:divBdr>
        <w:top w:val="none" w:sz="0" w:space="0" w:color="auto"/>
        <w:left w:val="none" w:sz="0" w:space="0" w:color="auto"/>
        <w:bottom w:val="none" w:sz="0" w:space="0" w:color="auto"/>
        <w:right w:val="none" w:sz="0" w:space="0" w:color="auto"/>
      </w:divBdr>
    </w:div>
    <w:div w:id="1116024243">
      <w:bodyDiv w:val="1"/>
      <w:marLeft w:val="0"/>
      <w:marRight w:val="0"/>
      <w:marTop w:val="0"/>
      <w:marBottom w:val="0"/>
      <w:divBdr>
        <w:top w:val="none" w:sz="0" w:space="0" w:color="auto"/>
        <w:left w:val="none" w:sz="0" w:space="0" w:color="auto"/>
        <w:bottom w:val="none" w:sz="0" w:space="0" w:color="auto"/>
        <w:right w:val="none" w:sz="0" w:space="0" w:color="auto"/>
      </w:divBdr>
    </w:div>
    <w:div w:id="1127508910">
      <w:bodyDiv w:val="1"/>
      <w:marLeft w:val="0"/>
      <w:marRight w:val="0"/>
      <w:marTop w:val="0"/>
      <w:marBottom w:val="0"/>
      <w:divBdr>
        <w:top w:val="none" w:sz="0" w:space="0" w:color="auto"/>
        <w:left w:val="none" w:sz="0" w:space="0" w:color="auto"/>
        <w:bottom w:val="none" w:sz="0" w:space="0" w:color="auto"/>
        <w:right w:val="none" w:sz="0" w:space="0" w:color="auto"/>
      </w:divBdr>
    </w:div>
    <w:div w:id="1160343862">
      <w:bodyDiv w:val="1"/>
      <w:marLeft w:val="0"/>
      <w:marRight w:val="0"/>
      <w:marTop w:val="0"/>
      <w:marBottom w:val="0"/>
      <w:divBdr>
        <w:top w:val="none" w:sz="0" w:space="0" w:color="auto"/>
        <w:left w:val="none" w:sz="0" w:space="0" w:color="auto"/>
        <w:bottom w:val="none" w:sz="0" w:space="0" w:color="auto"/>
        <w:right w:val="none" w:sz="0" w:space="0" w:color="auto"/>
      </w:divBdr>
    </w:div>
    <w:div w:id="1189026413">
      <w:bodyDiv w:val="1"/>
      <w:marLeft w:val="0"/>
      <w:marRight w:val="0"/>
      <w:marTop w:val="0"/>
      <w:marBottom w:val="0"/>
      <w:divBdr>
        <w:top w:val="none" w:sz="0" w:space="0" w:color="auto"/>
        <w:left w:val="none" w:sz="0" w:space="0" w:color="auto"/>
        <w:bottom w:val="none" w:sz="0" w:space="0" w:color="auto"/>
        <w:right w:val="none" w:sz="0" w:space="0" w:color="auto"/>
      </w:divBdr>
      <w:divsChild>
        <w:div w:id="795608259">
          <w:marLeft w:val="547"/>
          <w:marRight w:val="0"/>
          <w:marTop w:val="163"/>
          <w:marBottom w:val="0"/>
          <w:divBdr>
            <w:top w:val="none" w:sz="0" w:space="0" w:color="auto"/>
            <w:left w:val="none" w:sz="0" w:space="0" w:color="auto"/>
            <w:bottom w:val="none" w:sz="0" w:space="0" w:color="auto"/>
            <w:right w:val="none" w:sz="0" w:space="0" w:color="auto"/>
          </w:divBdr>
        </w:div>
      </w:divsChild>
    </w:div>
    <w:div w:id="1444615115">
      <w:bodyDiv w:val="1"/>
      <w:marLeft w:val="0"/>
      <w:marRight w:val="0"/>
      <w:marTop w:val="0"/>
      <w:marBottom w:val="0"/>
      <w:divBdr>
        <w:top w:val="none" w:sz="0" w:space="0" w:color="auto"/>
        <w:left w:val="none" w:sz="0" w:space="0" w:color="auto"/>
        <w:bottom w:val="none" w:sz="0" w:space="0" w:color="auto"/>
        <w:right w:val="none" w:sz="0" w:space="0" w:color="auto"/>
      </w:divBdr>
    </w:div>
    <w:div w:id="1598098830">
      <w:bodyDiv w:val="1"/>
      <w:marLeft w:val="0"/>
      <w:marRight w:val="0"/>
      <w:marTop w:val="0"/>
      <w:marBottom w:val="0"/>
      <w:divBdr>
        <w:top w:val="none" w:sz="0" w:space="0" w:color="auto"/>
        <w:left w:val="none" w:sz="0" w:space="0" w:color="auto"/>
        <w:bottom w:val="none" w:sz="0" w:space="0" w:color="auto"/>
        <w:right w:val="none" w:sz="0" w:space="0" w:color="auto"/>
      </w:divBdr>
    </w:div>
    <w:div w:id="1747990573">
      <w:bodyDiv w:val="1"/>
      <w:marLeft w:val="0"/>
      <w:marRight w:val="0"/>
      <w:marTop w:val="0"/>
      <w:marBottom w:val="0"/>
      <w:divBdr>
        <w:top w:val="none" w:sz="0" w:space="0" w:color="auto"/>
        <w:left w:val="none" w:sz="0" w:space="0" w:color="auto"/>
        <w:bottom w:val="none" w:sz="0" w:space="0" w:color="auto"/>
        <w:right w:val="none" w:sz="0" w:space="0" w:color="auto"/>
      </w:divBdr>
    </w:div>
    <w:div w:id="1852254905">
      <w:bodyDiv w:val="1"/>
      <w:marLeft w:val="0"/>
      <w:marRight w:val="0"/>
      <w:marTop w:val="0"/>
      <w:marBottom w:val="0"/>
      <w:divBdr>
        <w:top w:val="none" w:sz="0" w:space="0" w:color="auto"/>
        <w:left w:val="none" w:sz="0" w:space="0" w:color="auto"/>
        <w:bottom w:val="none" w:sz="0" w:space="0" w:color="auto"/>
        <w:right w:val="none" w:sz="0" w:space="0" w:color="auto"/>
      </w:divBdr>
    </w:div>
    <w:div w:id="20833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E77C-A87A-4940-AE4A-D043C1B0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97293677.dotm</Template>
  <TotalTime>0</TotalTime>
  <Pages>28</Pages>
  <Words>6430</Words>
  <Characters>46950</Characters>
  <Application>Microsoft Office Word</Application>
  <DocSecurity>0</DocSecurity>
  <Lines>391</Lines>
  <Paragraphs>106</Paragraphs>
  <ScaleCrop>false</ScaleCrop>
  <HeadingPairs>
    <vt:vector size="2" baseType="variant">
      <vt:variant>
        <vt:lpstr>Titel</vt:lpstr>
      </vt:variant>
      <vt:variant>
        <vt:i4>1</vt:i4>
      </vt:variant>
    </vt:vector>
  </HeadingPairs>
  <TitlesOfParts>
    <vt:vector size="1" baseType="lpstr">
      <vt:lpstr>Muster-Offenlegungsbericht nach Art. 435 bis 455 CRR</vt:lpstr>
    </vt:vector>
  </TitlesOfParts>
  <Company>DGRV</Company>
  <LinksUpToDate>false</LinksUpToDate>
  <CharactersWithSpaces>53274</CharactersWithSpaces>
  <SharedDoc>false</SharedDoc>
  <HLinks>
    <vt:vector size="54" baseType="variant">
      <vt:variant>
        <vt:i4>1507377</vt:i4>
      </vt:variant>
      <vt:variant>
        <vt:i4>50</vt:i4>
      </vt:variant>
      <vt:variant>
        <vt:i4>0</vt:i4>
      </vt:variant>
      <vt:variant>
        <vt:i4>5</vt:i4>
      </vt:variant>
      <vt:variant>
        <vt:lpwstr/>
      </vt:variant>
      <vt:variant>
        <vt:lpwstr>_Toc302028282</vt:lpwstr>
      </vt:variant>
      <vt:variant>
        <vt:i4>1507377</vt:i4>
      </vt:variant>
      <vt:variant>
        <vt:i4>44</vt:i4>
      </vt:variant>
      <vt:variant>
        <vt:i4>0</vt:i4>
      </vt:variant>
      <vt:variant>
        <vt:i4>5</vt:i4>
      </vt:variant>
      <vt:variant>
        <vt:lpwstr/>
      </vt:variant>
      <vt:variant>
        <vt:lpwstr>_Toc302028281</vt:lpwstr>
      </vt:variant>
      <vt:variant>
        <vt:i4>1507377</vt:i4>
      </vt:variant>
      <vt:variant>
        <vt:i4>38</vt:i4>
      </vt:variant>
      <vt:variant>
        <vt:i4>0</vt:i4>
      </vt:variant>
      <vt:variant>
        <vt:i4>5</vt:i4>
      </vt:variant>
      <vt:variant>
        <vt:lpwstr/>
      </vt:variant>
      <vt:variant>
        <vt:lpwstr>_Toc302028280</vt:lpwstr>
      </vt:variant>
      <vt:variant>
        <vt:i4>1572913</vt:i4>
      </vt:variant>
      <vt:variant>
        <vt:i4>32</vt:i4>
      </vt:variant>
      <vt:variant>
        <vt:i4>0</vt:i4>
      </vt:variant>
      <vt:variant>
        <vt:i4>5</vt:i4>
      </vt:variant>
      <vt:variant>
        <vt:lpwstr/>
      </vt:variant>
      <vt:variant>
        <vt:lpwstr>_Toc302028279</vt:lpwstr>
      </vt:variant>
      <vt:variant>
        <vt:i4>1572913</vt:i4>
      </vt:variant>
      <vt:variant>
        <vt:i4>26</vt:i4>
      </vt:variant>
      <vt:variant>
        <vt:i4>0</vt:i4>
      </vt:variant>
      <vt:variant>
        <vt:i4>5</vt:i4>
      </vt:variant>
      <vt:variant>
        <vt:lpwstr/>
      </vt:variant>
      <vt:variant>
        <vt:lpwstr>_Toc302028278</vt:lpwstr>
      </vt:variant>
      <vt:variant>
        <vt:i4>1572913</vt:i4>
      </vt:variant>
      <vt:variant>
        <vt:i4>20</vt:i4>
      </vt:variant>
      <vt:variant>
        <vt:i4>0</vt:i4>
      </vt:variant>
      <vt:variant>
        <vt:i4>5</vt:i4>
      </vt:variant>
      <vt:variant>
        <vt:lpwstr/>
      </vt:variant>
      <vt:variant>
        <vt:lpwstr>_Toc302028277</vt:lpwstr>
      </vt:variant>
      <vt:variant>
        <vt:i4>1572913</vt:i4>
      </vt:variant>
      <vt:variant>
        <vt:i4>14</vt:i4>
      </vt:variant>
      <vt:variant>
        <vt:i4>0</vt:i4>
      </vt:variant>
      <vt:variant>
        <vt:i4>5</vt:i4>
      </vt:variant>
      <vt:variant>
        <vt:lpwstr/>
      </vt:variant>
      <vt:variant>
        <vt:lpwstr>_Toc302028276</vt:lpwstr>
      </vt:variant>
      <vt:variant>
        <vt:i4>1572913</vt:i4>
      </vt:variant>
      <vt:variant>
        <vt:i4>8</vt:i4>
      </vt:variant>
      <vt:variant>
        <vt:i4>0</vt:i4>
      </vt:variant>
      <vt:variant>
        <vt:i4>5</vt:i4>
      </vt:variant>
      <vt:variant>
        <vt:lpwstr/>
      </vt:variant>
      <vt:variant>
        <vt:lpwstr>_Toc302028275</vt:lpwstr>
      </vt:variant>
      <vt:variant>
        <vt:i4>1572913</vt:i4>
      </vt:variant>
      <vt:variant>
        <vt:i4>2</vt:i4>
      </vt:variant>
      <vt:variant>
        <vt:i4>0</vt:i4>
      </vt:variant>
      <vt:variant>
        <vt:i4>5</vt:i4>
      </vt:variant>
      <vt:variant>
        <vt:lpwstr/>
      </vt:variant>
      <vt:variant>
        <vt:lpwstr>_Toc302028274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Muster-Offenlegungsbericht nach Art. 435 bis 455 CRR</dc:title>
  <dc:subject>Aufarbeitung der §§ 319 ff. SolvV</dc:subject>
  <dc:creator>yg44eil</dc:creator>
  <dc:description>Version 2.0</dc:description>
  <cp:lastModifiedBy> </cp:lastModifiedBy>
  <cp:revision>2</cp:revision>
  <cp:lastPrinted>2020-07-29T15:30:00Z</cp:lastPrinted>
  <dcterms:created xsi:type="dcterms:W3CDTF">2020-09-10T10:06:00Z</dcterms:created>
  <dcterms:modified xsi:type="dcterms:W3CDTF">2020-09-10T10:06:00Z</dcterms:modified>
</cp:coreProperties>
</file>